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P/965/2013 vom 23. Februar 2015</w:t>
      </w:r>
    </w:p>
    <w:p>
      <w:r>
        <w:t>GE Cour de justice, 2015-02-23, FR</w:t>
      </w:r>
    </w:p>
    <w:p>
      <w:r>
        <w:rPr>
          <w:b/>
        </w:rPr>
        <w:t xml:space="preserve">Quelle: </w:t>
      </w:r>
      <w:r>
        <w:t>https://mcp.opencaselaw.ch/entscheid/ge_gerichte_P_965_2013</w:t>
      </w:r>
    </w:p>
    <w:p>
      <w:r>
        <w:t>FR: GE_GERICHTE P/965/2013 du 23 février 2015</w:t>
      </w:r>
    </w:p>
    <w:p>
      <w:r>
        <w:t>IT: GE_GERICHTE P/965/2013 del 23 febbraio 2015</w:t>
      </w:r>
    </w:p>
    <w:p>
      <w:pPr>
        <w:pStyle w:val="Heading2"/>
      </w:pPr>
      <w:r>
        <w:t>Regeste</w:t>
      </w:r>
    </w:p>
    <w:p>
      <w:r>
        <w:t>PEINE; PEINE PRIVATIVE DE LIBERTÉ; SURSIS À L'EXÉCUTION DE LA PEINE; DÉFENSE D'OFFICE; FRAIS DE LA PROCÉDURE | CP.47; CPP.135.1; RAJ.16</w:t>
      </w:r>
    </w:p>
    <w:p>
      <w:pPr>
        <w:pStyle w:val="Heading2"/>
      </w:pPr>
      <w:r>
        <w:t>Erwägungen</w:t>
      </w:r>
    </w:p>
    <w:p>
      <w:r>
        <w:rPr>
          <w:b/>
        </w:rPr>
        <w:t>E. 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Il s'ensuit que si l'appel est recevable pour avoir été interjeté et motivé selon la forme et dans les délais prescrits (art. 398 et 399 CPP) s'agissant de la contestation relative à la peine (type et quotité) et au refus du sursis, tel n'est pas le cas de la contestation relative au refus de l'indemnité pour détention injustifiée, prise pour la première fois à l'occasion des débats et non dans la déclaration d'appel.</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2.2</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2.3</w:t>
      </w:r>
    </w:p>
    <w:p>
      <w:r>
        <w:t>Sur le plan objectif, seules les peines de six mois à deux ans peuvent être assorties du sursis total (cf. art. 42 al. 1 CP). Le cadre élargi défini par le nouveau droit pour la fixation de la peine ne justifie plus une relativisation de la limite légale permettant l'octroi du sursis ou du sursis partiel (ATF 134 IV 17 ,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 Par ailleurs,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 consid. 4.2.3).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Le pronostic doit être posé selon les mêmes critères que sous l'ancien droit.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Comme sous l'ancien droit (cf. ATF 98 IV 313 consid. 3),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98 IV 159 , consid. 2) ou les infractions à la loi fédérale sur les stupéfiants (ATF 101 IV 122 consid.).</w:t>
      </w:r>
    </w:p>
    <w:p>
      <w:r>
        <w:rPr>
          <w:b/>
        </w:rPr>
        <w:t>E. 2.4</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 arrêt du Tribunal fédéral 6B_1044/2013 du 4 mars 2014 consid. 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2.5.1. L'appelant a commis a réitéré reprises des infractions de gravité variable, au regard du bien juridique protégé et de la peine-menace dont elles sont assorties (une peine privative de liberté de trois ans au plus ou une peine pécuniaire pour les art. 90 al. 2 LCR, 91 al. 2 LCR, 95 al.1 let. b LCR ainsi que 33. al. 1 let. a LArm, une peine privative de liberté d'un an au plus ou une peine pécuniaire en ce qui concerne l'art. 115 LEtr, enfin l'amende – non contestée in casu pour les art. 93 al. 2 let.b LCR et 99 al. 3 LCR). Certes, la violation de la LEtr paraît accessoire en l'occurrence. En revanche la répétition de comportements dangereux, non seulement pour l'appelant lui-même mais aussi pour les tiers, que constituent la conduite en état d'ébriété ou la possession illégale d'armes est très préoccupante, dénote un mépris des normes en vigueur et de la sécurité publique et emporte que la faute doit être qualifiée de moyenne. Contrairement à ce que soutient l'appelant, le fait que la période pénale soit relativement courte (6 mois) n'est pas un élément à décharge dans la mesure où il n'a tenu aucun compte des avertissements qu'auraient dû constituer le contrôle du 20 janvier 2013 et l'accident du 9 février suivant, réitérant à très bref délais son comportement. A cela s'ajoutent encore les antécédents, tous deux spécifiques, étant rappelé que la première récidive en matière de violation de la LArm est intervenue à peine deux mois après la précédente condamnation du 9 décembre 2012. Les faits sont certes reconnus, mais vu les éléments du dossier, il ne pouvait en aller autrement. La prise de conscience paraît inexistante ; l'appelant n'a d'ailleurs pas tenté de convaincre du contraire en se présentant personnellement devant le juge du fond afin d'attester d'un changement d'état d'esprit. Il faut déduire de ces circonstances que l'appelant est habité par un sentiment de toute puissance qui le rend peu ou guère sensible à une sanction peu incisive, telle une peine pécuniaire, déjà infligée à deux reprises sans succès. C'est ainsi à juste titre que le premier juge a estimé que seule une peine privative de liberté pouvait entrer en considération et qu'il en a fixé la quotité à une année, eu égard à l'aggravation découlant tant du concours d'infractions (art. 49 al. 1 CP) que de la récidive. L'appel doit donc être rejeté dans la mesure où il porte sur le type et la quotité de la peine. 2.5.2. Contrairement à ce que soutient l'appelant, le premier juge a fait application de l'art. 42 al. 1 CP (et non de l'al. 2 de cette disposition) comme cela ressort expressément du consid. 2.3.2 du jugement entrepris. Pour autant, s'il est vrai que le pronostic est loin d'être favorable, il faut tenir compte du fait que l'intéressé ne s'était pas précédemment vu infliger de peine privative de liberté et qu'il a fait pour la première fois l'expérience de la prison, ayant été détenu à titre préventif durant 57 jours. Dans ces circonstances, on ne peut exclure que la crainte de devoir purger un solde de peine relativement important, alors qu'il sait désormais concrètement ce que signifie la détention, suffira à dissuader l'appelant de commettre d'autres infractions. Vu ces circonstances, le cas doit être qualifié de limite, ce qui autorise encore l'octroi du sursis. S'agissant d'un cas limite, la durée du délai d'épreuve, qui ne saurait être trop courte, sera arrêtée à quatre ans. L'appel sera donc admis dans cette mesure.</w:t>
      </w:r>
    </w:p>
    <w:p>
      <w:r>
        <w:rPr>
          <w:b/>
        </w:rPr>
        <w:t>E. 3</w:t>
      </w:r>
    </w:p>
    <w:p>
      <w:r>
        <w:t>L'appelant, qui n'obtient que partiellement gain de cause, supportera la moitié des frais de la procédure envers l'État (art. 428 CPP), comprenant un émolument de CHF 1'200.- (art. 14 al. 1 let. e du règlement fixant le tarif des frais en matière pénale du 22 décembre 2010 (RTFMP - E 4 10.03).</w:t>
      </w:r>
    </w:p>
    <w:p>
      <w:r>
        <w:rPr>
          <w:b/>
        </w:rPr>
        <w:t>E. 4</w:t>
      </w:r>
    </w:p>
    <w:p>
      <w:r>
        <w:t>4.1.1.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4.1.2.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4.2.1. Conformément aux principes qui précèdent, il convient d'écarter de l'état de frais du défenseur d'office de l'appelant le temps consacré à : - 30 des 45 minutes consacrées à la lecture du jugement et à l'examen des chances de succès d'un éventuel appel, la première partie de l'activité relevant du forfait couvrant les activités diverses ; - la rédaction de la déclaration d'appel, cet acte se résumant à une simple lettre, relavant de l'indemnisation forfaitaire dans la mesure où le CPP n'exige pas qu'elle soit motivée (arrêt de la Cour des plaintes du Tribunal pénal fédéral, BB.2013.127 du 4 décembre 2013 consid. 4.2) ; - les recherches juridiques dans une affaire ne présentant aucune complexité, l'examen de l'ordonnance du 11 novembre 2014 qui ne faisait qu'appointer les débats, en l'absence de tout incident ou réquisition de preuve, ainsi que la rédaction d'une note, ces postes relevant du forfait précité ; - l'examen du présent arrêt, la simple lecture, s'agissant d'une décision courte pour une affaire sans complexité, en étant aussi couverte par ledit forfait alors qu'un examen plus poussé, en vue d'un éventuel recours au Tribunal fédéral ne relèverait pas de l'activité devant les autorités cantonales ; - 30 des 45 minutes facturées pour la présence à l'audience, celle-ci n'ayant durée que 12 minutes. Ces déductions effectuées, l'activité déployée en deuxième instance par la défense d'office de l'appelant couverte par l'assistance juridique sera donc arrêtée à une heure pour le chef d'étude et deux heures 45 pour l'avocate-stagiaire. 4.2.2. Au-delà de l'invocation d'un "consensus fédéral", guère déterminant dès lors que la loi renvoie au tarif du canton du for du procès (art. 135 al. 1 CPP), le défenseur d'office n'établit pas que le taux horaire de CHF 65.- appliqué à Genève ne couvrirait pas adéquatement les opérations effectuées par les avocats-stagiaires, de sorte qu'il n'y a pas de raison de s'écarter du règlement cantonal. La rémunération sera ainsi arrêtée à CHF 378.75 (CHF 200.- + CHF 178.75) plus le forfait par 20% soit CHF 75.75. L'indemnité totale est ainsi de CHF 454.50.-. 4.2.3. Il n'y a pas lieu à couverture de la TVA, vu le domicile à l'étranger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