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P/964/2015 vom 16. Dezember 2016</w:t>
      </w:r>
    </w:p>
    <w:p>
      <w:r>
        <w:t>GE Cour de justice, 2016-12-16, FR</w:t>
      </w:r>
    </w:p>
    <w:p>
      <w:r>
        <w:rPr>
          <w:b/>
        </w:rPr>
        <w:t xml:space="preserve">Quelle: </w:t>
      </w:r>
      <w:r>
        <w:t>https://mcp.opencaselaw.ch/entscheid/ge_gerichte_P_964_2015</w:t>
      </w:r>
    </w:p>
    <w:p>
      <w:r>
        <w:t>FR: GE_GERICHTE P/964/2015 du 16 décembre 2016</w:t>
      </w:r>
    </w:p>
    <w:p>
      <w:r>
        <w:t>IT: GE_GERICHTE P/964/2015 del 16 dicembre 2016</w:t>
      </w:r>
    </w:p>
    <w:p>
      <w:pPr>
        <w:pStyle w:val="Heading2"/>
      </w:pPr>
      <w:r>
        <w:t>Regeste</w:t>
      </w:r>
    </w:p>
    <w:p>
      <w:r>
        <w:t>VOL(DROIT PÉNAL) ; DOMMAGES À LA PROPRIÉTÉ(DROIT PÉNAL) ; VIOLATION DE DOMICILE ; TENTATIVE(DROIT PÉNAL) ; IN DUBIO PRO REO ; CONCOURS RÉEL ; CONCOURS D'INFRACTIONS ; SÉJOUR ILLÉGAL ; DROIT D'ÊTRE ENTENDU | CP139I; CP186; LEtr115b; CP144; CP47; CP49.2; CP22; CP51; CPP121II; LCA72; Cst29.2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et les décisions judiciaires ultérieures (let. g). La Chambre limite son examen aux violations décrites dans l'acte d'appel (art. 404 al. 1 CPP), sauf en cas de décisions illégales ou inéquitables (art. 404 al. 2 CPP).</w:t>
      </w:r>
    </w:p>
    <w:p>
      <w:r>
        <w:rPr>
          <w:b/>
        </w:rPr>
        <w:t>E. 2</w:t>
      </w:r>
    </w:p>
    <w:p>
      <w:r>
        <w:t>Il n'y a nul besoin de revenir sur la question de la recevabilité de l'appel joint de C______, traitée par la CPAR in corpore dans son ordonnance du 15 juillet 2016 , à laquelle il est ici renvoyé. En substance, il faut admettre que le Ministère public, en ne donnant pas suite aux demandes de consultation du dossier émanant de C______, a commis un déni de justice formel qui a empêché la compagnie d'assurance de prendre connaissance de l'état de la procédure avant le prononcé du jugement de première instance. Le retard de son appel joint ne lui était par conséquent pas opposable. Partant, la demande de non-entrée en matière présentée par l'appelant principal sera écartée.</w:t>
      </w:r>
    </w:p>
    <w:p>
      <w:r>
        <w:rPr>
          <w:b/>
        </w:rPr>
        <w:t>E. 3</w:t>
      </w:r>
    </w:p>
    <w:p>
      <w:r>
        <w:t>3.1. En vertu de la jurisprudence du Tribunal fédéral, le droit d'être entendu, garanti par l'art. 29 al. 2 de la Constitution fédérale de la Confédération suisse du 18 avril 1999 (Cst. ; RS 101), comprend notamment le droit pour l'intéressé de s'exprimer sur les éléments pertinents avant qu'une décision touchant sa situation juridique ne soit prise,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p. 293 ; 129 II 497 consid. 2.2 p. 504 s. ; 127 I 54 consid. 2b p. 56 et les arrêts cités).</w:t>
      </w:r>
    </w:p>
    <w:p>
      <w:r>
        <w:rPr>
          <w:b/>
        </w:rPr>
        <w:t>E. 3.2</w:t>
      </w:r>
    </w:p>
    <w:p>
      <w:r>
        <w:t>En l'espèce, le rapport complémentaire de la BPTS contenant les photographies des traces et de la semelle a été versé au dossier deux mois avant le procès devant le Tribunal de police, de sorte que l'appelant principal disposait du temps nécessaire pour en prendre connaissance et intégrer cet élément à sa ligne de défense, ce qu'il a d'ailleurs fait. Il n'a ainsi subi aucun préjudice. C'est sans compter que le premier rapport de la BPTS du 16 janvier 2015 mentionnait déjà une identification formelle de sa semelle – certes sans la documenter – de sorte que l'appelant principal avait connaissance des éléments de preuve retenus contre lui à cette date déjà. Partant, aucune violation du droit d'être entendu ne peut être constatée.</w:t>
      </w:r>
    </w:p>
    <w:p>
      <w:r>
        <w:rPr>
          <w:b/>
        </w:rPr>
        <w:t>E. 4</w:t>
      </w:r>
    </w:p>
    <w:p>
      <w:r>
        <w:t>L'infraction de séjour illégal (art. 115 al. 1 let. b LEtr), dont la matérialité n'est pas contestée par l'appelant, est réalisée au regard des éléments du dossier. Le jugement entrepris sera dès lors confirmé sur ce point.</w:t>
      </w:r>
    </w:p>
    <w:p>
      <w:r>
        <w:rPr>
          <w:b/>
        </w:rPr>
        <w:t>E. 5</w:t>
      </w:r>
    </w:p>
    <w:p>
      <w:r>
        <w:t>.1. Le principe in dubio pro reo , qui découle de la présomption d'innocence, garantie par l'art. 6 par.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Les art. 137, 144 et 186 CP répriment les trois infractions constitutives de la commission d'un cambriolage. La tentative suppose que l'auteur réalise tous les éléments subjectifs de l'infraction de vol et qu'il manifeste sa décision de la commettre, mais sans en réaliser tous les éléments objectifs (ATF 120 IV 199 consid.  3e p. 206). 5.2.1.1. Afin de déterminer la compatibilité d'une trace relevée sur le lieu d'un délit avec la semelle d'un prévenu, la BPTS compare les caractéristiques que présentent cette trace et la semelle afin d'examiner si la trace relevée a ou non pour origine la semelle à disposition. Plus les objets comparés présentent de similitudes (motifs, taille de ces motifs, marque de la semelle, usures inhérentes à la démarche du porteur, caractéristiques accidentelles telles que coupures, fragments arrachés, trous) plus ils peuvent être mis en relation. L'identification formelle d'une trace représente la valeur probante la plus haute sur les six catégories envisageables (exclusion, probablement pas, possible, probable, très probable, identification formelle). L'identification formelle est ainsi retenue lorsque la chaussure de comparaison possède des caractéristiques de fabrication identiques, des marques d'usure similaires et des particularités accidentelles concordantes avec cette trace, dont le nombre et/ou la clarté sont considérés comme suffisants ( AARP/147/2014 du 15 mai 2015, consid. B.b.j.). 5.2.1.2. Il n'y a pas lieu de remettre en question la conclusion à laquelle est parvenue la BPTS, qui démontre et documente, dans son rapport complémentaire du 26 mai 2015, les différents éléments qui l'ont conduite à attribuer la valeur probante la plus haute à cette correspondance. A cet égard , les photographies jointes au rapport sont explicites, même pour un œil non averti. 5.2.2. L'implication de l'appelant principal dans le cambriolage de l'appartement de D______ ne fait aucun doute, dès lors qu'une trace de sa semelle a été formellement identifiée sur les lieux et que les rétroactifs de son téléphone portable le signalaient à proximité immédiate, dans une tranche horaire compatible avec celle durant laquelle la tentative de vol a été commise. L'inconstance de ses déclarations au sujet de la date d'achat des baskets renforce cette conviction. Le modus operandi n'est pas à ce point spécifique qu'il fonderait, à lui seul, la culpabilité de l'appelant principal, mais il constitue un élément à charge. L'appartement de E______ a été cambriolé durant la même période que l'appartement de sa voisine et, qui plus est, selon le même mode opératoire. Ces circonstances sont suffisantes pour reléguer au plan du doute purement théorique l'hypothèse selon laquelle ce cambriolage commis dans un appartement voisin, dans des tranches horaires identiques, serait le fait de tiers. L'implication de l'appelant principal dans ce second cambriolage peut expliquer que sa présence dans le quartier, démontrée par les rétroactifs de son téléphone portable, ait duré près de deux heures. L'appelant a par ailleurs pu entrer dans l'appartement E______ sans y laisser de traces exploitables, voire y faire entrer d'autres que lui dans une action commune. Partant, le verdict de culpabilité, tel que retenu par le premier juge, sera confirmé, sans que la comparaison avec le classement décidé par le canton de Fribourg dans une cause similaire ne représente un frein. Chaque cause répond à des éléments de fait différents qui rendent toute comparaison délicate en plus du fait que la décision de justice du 18 août 2015 ne mentionne qu'une partie des éléments factuels pris en considération.</w:t>
      </w:r>
    </w:p>
    <w:p>
      <w:r>
        <w:rPr>
          <w:b/>
        </w:rPr>
        <w:t>E. 6</w:t>
      </w:r>
    </w:p>
    <w:p>
      <w:r>
        <w:t>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 3 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Il en va de même des antécédents étrangers (ATF 105 IV 225 consid. 2 p. 226). 6.2.1. En vertu de l'art. 49 al. 1 CP, lorsqu'un délinquant, par plusieurs actes, encourt plusieurs peines privatives de liberté, le juge le condamne à la peine de l'infraction la plus grave et en augmente la durée d'après les circonstances,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6.2.2.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6.2.3.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pp. 54-55 ; arrêt du Tribunal fédéral 6B_553/2014 du 24 avril 2015 consid. 3.5.1). En d'autres termes, la réduction devra être d'autant plus faible que le résultat était proche et ses conséquences graves.</w:t>
      </w:r>
    </w:p>
    <w:p>
      <w:r>
        <w:rPr>
          <w:b/>
        </w:rPr>
        <w:t>E. 6.3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Lorsque l'hypothèse visée par l'art. 42 al. 2 CP est réalisée, un sursis partiel au sens de l'art. 43 CP est également exclu (arrêt du Tribunal fédéral 6B_352/2014 précité).</w:t>
      </w:r>
    </w:p>
    <w:p>
      <w:r>
        <w:rPr>
          <w:b/>
        </w:rPr>
        <w:t>E. 6.4</w:t>
      </w:r>
    </w:p>
    <w:p>
      <w:r>
        <w:t>En l'espèce, la faute de l'appelant principal est de gravité moyenne. Agissant par appât du gain facile, il s'en est pris aux biens et à la sphère intime d'autrui, sans égard aux conséquences patrimoniales et psychologiques de ses actes pour ses victimes. Il sera tenu compte du fait qu'une infraction de vol est restée au stade de la tentative. L'infraction de séjour illégal est de moindre gravité. La collaboration de l'appelant a été médiocre, celui-ci n'ayant de cesse de nier les faits, même confronté à des preuves scientifiques. Il a de très nombreux antécédents spécifiques qui s'échelonnent sur près de six années, ce qui dénote un fort ancrage dans la délinquance. Il y a concours d'infractions, facteur aggravant. Au vu de ce qui précède, la peine privative de liberté à laquelle l'appelant principal a été condamné en première instance doit être tenue pour adéquate, dans la mesure où elle correspond à sa faute et respecte les principes posés par l'art. 47 CP. Le jugement entrepris devrait donc être confirmé si l'appelant n'avait pas entretemps subi une nouvelle condamnation pour entrée illégale en Suisse. En application de l'art. 49 al. 2 CP, la peine sera ainsi fixée à sept mois de privation de liberté, dite peine étant complémentaire à celle prononcée par le Ministère public le 25 avril 2016 (3 mois de peine privative de liberté). En effet, s'il s'agissait de fixer une peine comprenant l'ensemble des faits reprochés, la sanction globale n'aurait pas dépassé dix mois de privation de liberté. Il s'impose en conséquence de réduire de deux mois la peine prononcée pour ne pas punir plus sévèrement l'appelant que s'il avait été jugé en une seule fois. Tant le sursis que le sursis partiel sont exclus (art. 42 al. 2 CP), ce que l'appelant n'a, avec raison, pas contesté, aucune circonstance particulièrement favorable ne pouvant être invoquée.</w:t>
      </w:r>
    </w:p>
    <w:p>
      <w:r>
        <w:rPr>
          <w:b/>
        </w:rPr>
        <w:t>E. 7</w:t>
      </w:r>
    </w:p>
    <w:p>
      <w:r>
        <w:t>7.1.1. Aux termes de l'art. 51 CP,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La jurisprudence relative à l'imputation sur la peine de la détention avant jugement vaut également en cas d'application de l'art. 429 al. 1 let. c CPP (arrêts du Tribunal fédéral 6B_431/2015 du 24 mars 2016 consid. 2.2 ; 6B_558/2013 du 13 décembre 2013 consid. 1.6 et 6B_169/2012 du 25 juin 2012 consid. 6). Il n'est pas nécessaire que l'infraction à l'origine de la condamnation soit celle ayant justifié la détention avant jugement. L'imputation au sens de l'art. 51 CP suppose uniquement qu'une des procédures pénales aboutisse à une condamnation (arrêt du Tribunal fédéral 6B_558/2013 du 13 décembre 2013 consid. 1.5 et 1.6). 7.1.2. L'appelant a subi 286 jours de détention avant jugement, lesquels seront déduits des peines prononcées à son encontre, qui comprennent la condamnation le 25 avril 2016 à trois mois de privation de liberté [sept mois + trois mois, soit 300 jours], ce qui conduit à écarter les conclusions en indemnisation de l'appelant comme non fondées.</w:t>
      </w:r>
    </w:p>
    <w:p>
      <w:r>
        <w:rPr>
          <w:b/>
        </w:rPr>
        <w:t>E. 8</w:t>
      </w:r>
    </w:p>
    <w:p>
      <w:r>
        <w:t>3. Dans son acte du 30 novembre 2015, l'appelante jointe fait état d'un dommage de CHF 30'004.40, soit CHF 29'000.- remboursés à son assurée et CHF 1'004.40 de frais de réparation des fenêtres endommagées, dit dommage étant documenté. L'appelant principal sera donc condamné à verser le montant requis à l'appelante jointe.</w:t>
      </w:r>
    </w:p>
    <w:p>
      <w:r>
        <w:rPr>
          <w:b/>
        </w:rPr>
        <w:t>E. 9</w:t>
      </w:r>
    </w:p>
    <w:p>
      <w:r>
        <w:t>L'appelant principal, qui succombe sinon pour des motifs formels, supportera les frais de la procédure envers l'Etat à raison de trois quarts, lesquels comprennent un émolument de CHF 2'500.-. (art. 428 CPP et 14 al. 1 du règlement fixant le tarif des frais en matière pénale du 22 décembre 2010 [RTFMP ; E 4.10.03]).</w:t>
      </w:r>
    </w:p>
    <w:p>
      <w:r>
        <w:rPr>
          <w:b/>
        </w:rPr>
        <w:t>E. 10</w:t>
      </w:r>
    </w:p>
    <w:p>
      <w:r>
        <w:t>10.1.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pp. 201-202). La juridiction d'appel est partant compétente, au sens de l'art. 135 al. 2 CPP, pour statuer sur l'activité postérieure à sa saisine. 10.2.1.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65.- pour l'avocat-stagiaire (let. a) et de CHF 125.- pour le collaborateur (let. b.).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10.2.2. Les autorités cantonales jouissent d'une importante marge d'appréciation lorsqu'elles fixent, dans la procédure, la rémunération du défenseur d'office (ATF 141 I 124 consid. 3.2 pp. 126-127 et les références citées ; arrêts du Tribunal fédéral 6B_675/2015 précité consid. 3.1 et 6B_856/2014 du 10 juillet 2015 consid. 2.3 ; décision du Tribunal pénal fédéral BB.2015.85 du 12 avril 2016 consid. 3.2.3). 10.2.3.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Les communications et courriers divers sont en principe inclus dans le forfait (AARP/1______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telles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w:t>
      </w:r>
    </w:p>
    <w:p>
      <w:r>
        <w:rPr>
          <w:b/>
        </w:rPr>
        <w:t>E. 10.3</w:t>
      </w:r>
    </w:p>
    <w:p>
      <w:r>
        <w:t>Le décompte produit par le Conseil de l'appelant paraît adéquat, à l'exception des postes "Annonce d'appel" (5 minutes), "Déclaration d'appel" (60 minutes) et "Courrier à la CPAR re : procédure écrite" (30 minutes), qui sont inclus dans le forfait. En conclusion, l'indemnité sera arrêtée à CHF 2'560.25 correspondant à 17.58 heures d'activité de collaborateur, au tarif de CHF 125.-/heure, et deux heures d'activité de stagiaire au tarif de CHF 65.-/heure, plus la majoration forfaitaire de 10%, compte tenu de l'activité déployée en première instance, sans TVA à laquelle son Conseil n'est pas assujetti.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