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P/9646/2019 vom 3. Mai 2021</w:t>
      </w:r>
    </w:p>
    <w:p>
      <w:r>
        <w:t>GE Cour de justice, 2021-05-03, FR</w:t>
      </w:r>
    </w:p>
    <w:p>
      <w:r>
        <w:rPr>
          <w:b/>
        </w:rPr>
        <w:t xml:space="preserve">Quelle: </w:t>
      </w:r>
      <w:r>
        <w:t>https://mcp.opencaselaw.ch/entscheid/ge_gerichte_P_9646_2019</w:t>
      </w:r>
    </w:p>
    <w:p>
      <w:r>
        <w:t>FR: GE_GERICHTE P/9646/2019 du 3 mai 2021</w:t>
      </w:r>
    </w:p>
    <w:p>
      <w:r>
        <w:t>IT: GE_GERICHTE P/9646/2019 del 3 maggio 2021</w:t>
      </w:r>
    </w:p>
    <w:p>
      <w:pPr>
        <w:pStyle w:val="Heading2"/>
      </w:pPr>
      <w:r>
        <w:t>Regeste</w:t>
      </w:r>
    </w:p>
    <w:p>
      <w:r>
        <w:t>VOL(DROIT PÉNAL);TENTATIVE(DROIT PÉNAL);INFRACTION D'IMPORTANCE MINEURE;DOMMAGES À LA PROPRIÉTÉ(DROIT PÉNAL);VIOLATION DE DOMICILE;CONSOMMATION DE STUPÉFIANTS;FIXATION DE LA PEINE;CONCOURS D'INFRACTIONS;PEINE PÉCUNIAIRE;SURSIS PARTIEL À L'EXÉCUTION DE LA PEINE;AMENDE;PEINE COMPLÉMENTAIRE;PEINE PRIVATIVE DE LIBERTÉ;TRAITEMENT AMBULATOIRE;ASSISTANCE DE PROBATION | CP.139.al1; CP.22.al1; CP.172ter; CP.144.al1; CP.186; LSTUP.19.al1.letA; CP.47; CP.49.al1; CP.42.al2; CP.34; CP.42; CP.40; CP.56; CP.63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la présomption d'innocence signifie, au stade du jugement, que ce fardeau incombe à l'accusation et que le doute doit profiter au prévenu.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subsistent de tels doutes, le tribunal se fonde sur l'état de fait le plus favorable au prévenu (ATF 144 IV 345 consid. 2.2.1). 2.2.1. Le vol (art. 139 al. 1 CP) est sanctionné d'une peine privative de liberté de cinq ans au plus ou d'une peine pécuniaire. 2.2.2. L'auteur de dommages à la propriété (art. 144 al. 1 CP) est puni, sur plainte, d'une peine privative de liberté de trois ans au plus ou d'une peine pécuniaire. Si l'acte ne visait qu'un élément patrimonial de faible valeur ou un dommage de moindre importance, l'auteur sera, sur plainte, puni d'une amende (art. 172ter CP). Un élément patrimonial est de faible valeur au sens de cette disposition s'il ne dépasse pas CHF 300.- (ATF 142 IV 129 consid. 3.1 et arrêts cités), étant précisé que c'est l'intention de l'auteur qui est déterminante et non le résultat obtenu (ATF 122 156 consid. 2). 2.2.3. La violation de domicile (art. 186 CP) stipule que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2.2.4. Aux termes de l'art. 19a ch. 1 LStup, celui qui, sans droit, aura consommé intentionnellement des stupéfiants ou celui qui aura commis une infraction à l'art. 19 pour assurer sa propre consommation est passible de l'amende. 2.2.5. Une plainte pénale vise un état de fait déterminé. S'il incombe au plaignant de désigner les faits qu'il entend voir poursuivre, leur qualification juridique appartient aux autorités pénales (ATF 115 1 consid. 2a). 2.3.1. En l'espèce, l'appelant ne conteste pas avoir découpé le câble du téléphone qu'il a tenté de dérober au magasin C______ le 18 avril 2019, au moyen d'un coupe-ongle. Il argue en revanche qu'aucune plainte n'a été déposée ni aucun dommage chiffré pour ces faits. Or, comme retenu à juste titre par le TP, il ressort de la plainte du 13 mai 2019 que ces agissements ont bien été dénoncés, des photos du câble découpé ayant par ailleurs été jointes à la procédure. Il n'appartient au demeurant pas à la partie plaignante de qualifier juridiquement les faits qu'elle dénonce, si bien que l'argument de l'appelant selon lequel l'infraction n'était pas expressément mentionnée dans la plainte est dénué de pertinence. Il importe également peu que le dommage n'ait pas été chiffré, la partie plaignante n'ayant pas déposé de conclusions civiles. Du reste, l'élément patrimonial de faible valeur a été retenu, si bien que seule compte l'intention de l'auteur, à l'exclusion du résultat obtenu, ce qui paraît profitable à l'appelant quel que soit le montant effectif du dommage. C'est ainsi à bon droit que le TP a retenu l'infraction de dommages à la propriété d'importance mineure (art. 144 cum 172ter CP). Le verdict de culpabilité de ce chef d'infraction sera confirmé. 2.3.2. L'appelant soutient ne pas être entré dans le magasin D______ dans le but de dérober un téléphone mais en avoir pris un pour l'avoir vu à portée de mains. Ses explications sont en parfaite contradiction avec ses précédentes déclarations selon lesquelles, durant la période pénale, il se rendait dans les magasins dans le but précis de dérober des téléphones et que cette idée lui apparaissait souvent le matin, au réveil. Dans son mémoire d'appel, il explique en outre que l'ensemble des agissements commis entre le 18 avril et le 23 décembre 2019 s'inscrit dans un même complexe de faits et admet être entré à plusieurs reprises dans le magasin C______ dans l’intention de dérober des téléphones. Le fait que le rapport de police mentionne expressément que l'appelant a reconnu, au moment de son interpellation, être entré dans le magasin D______ pour dérober un téléphone, renforce aussi la thèse de l'accusation. Les images de vidéo-surveillance tendent également à prouver ce qui précède, puisqu'elles montrent l'appelant dans le magasin sans rien faire de spécial si ce n'est observer le téléphone en question, s'en emparer et quitter rapidement les lieux. Ainsi, en l'absence de plus amples explications crédibles sur son intention en entrant dans le magasin D______, il sera retenu que l'appelant y a bien pénétré dans l'unique but de dérober un téléphone. Le verdict de culpabilité de violation de domicile (art. 186 CP) pour les faits du 23 décembre 2019 sera confirmé.</w:t>
      </w:r>
    </w:p>
    <w:p>
      <w:r>
        <w:rPr>
          <w:b/>
        </w:rPr>
        <w:t>E. 3.1</w:t>
      </w:r>
    </w:p>
    <w:p>
      <w:r>
        <w:t>Selon l'art. 47 CP, le juge fixe la peine d'après la culpabilité de l'auteur.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3.2.1.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3.2.2. L'art. 49 al. 2 CP vise la situation du concours réel rétrospectif qui se présente lorsque l'accusé, qui a déjà été condamné pour une infraction, doit être jugé pour une autre infraction commise avant le premier jugement.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Est déterminant, pour l'application de l'art. 49 al. 2 CP, le fait de savoir si les actes délictueux à juger dans le cadre de la deuxième procédure ont été commis avant la première condamnation. Il y a première condamnation dès l'instant où un jugement est prononcé, et dont l'entrée en force intervient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(ATF 138 IV 113 consid. 3.4.2 ; ATF 129 IV 113 consid. 1.3 ; ATF 109 IV 87 consid. 2a ; ATF 102 IV 242 consid. II.4.a ; ACPR/369/2015 du 3 juillet 2015 consid. 2.1.). 3.2.3.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 in LawInside, 31 août 2016, http://www.lawinside.ch/304/ [31.01.17]).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JdT 2017 IV 129 ; AARP/467/2016 du 18 novembre 2016 consid. 3.3.2 ; J. FRANCEY, Le concours rétrospectif (art. 49 al. 2 CP) , in LawInside, 31 août 2016, http://www.lawinside.ch/304/ [31.01.17]). Si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Si finalement, la peine du premier jugement et la peine des faits nouveaux constituent des peines d'ensemble parce qu'elles ont déjà été augmentées en vertu du principe d'aggravation, le juge peut en tenir compte modérément dans la fixation de la peine complémentaire (ATF 142 IV 265 consid. 2.4.4 = JdT 2017 IV 129 ; AARP/467/2016 du 18 novembre 2016 consid. 3.3.2 ; J. FRANCEY, Le concours rétrospectif (art. 49 al. 2 CP) , in LawInside, 31 août 2016, http://www.lawinside.ch/304/ [31.01.17]). 3.2.4. Lorsque plusieurs contraventions entrent en concours parfait, l'amende doit être augmentée conformément à l'art. 49 al. 1 CP (arrêt 6B_65/2009 du 13 juillet 2009, consid. 1.4, résumé in forumpoenale 2010, p. 66). 3.3.1.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Pour ordonner une des mesures prévues aux articles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À cet égard, les rapports de thérapeutes ne suffisent pas (ATF 134 IV 246 consid. 4.3). 3.3.2.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La durée des mesures dépend des besoins de traitement de l'intéressé et des perspectives de succès de la mesure (cf. art. 56 al. 1 let. b CP). La mesure est ordonnée sans égard au type et à la durée de la peine prononcée. Sont déterminants l'état des facultés mentales de l'auteur ainsi que l'impact de la mesure sur le risque de commission d'autres infractions.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3.3.3. Une mesure thérapeutique est incompatible avec le prononcé d'un sursis. En effet, la mesure doit être de nature à écarter un risque de récidive et, partant, suppose qu'un tel risque existe (cf. par ex. art. 59 al. 1 CP). A l'inverse, l'octroi du sursis suppose que le juge n'ait pas posé un pronostic défavorable et, partant, qu'il ait estimé qu'il n'y avait pas de risque de récidive (ATF 135 IV 180 consid. 2.3 ; 134 IV 1 consid. 3.1; arrêts du Tribunal fédéral 6B_94/2015 du 24 septembre 2015 consid. 1.1).</w:t>
      </w:r>
    </w:p>
    <w:p>
      <w:r>
        <w:rPr>
          <w:b/>
        </w:rPr>
        <w:t>E. 3.4</w:t>
      </w:r>
    </w:p>
    <w:p>
      <w:r>
        <w:t>En l'espèce, les agissements de l'appelant s'agissant des vols et violations de domicile ont un mobile purement égoïste, relevant de l’appât du gain ainsi que d’un mépris du patrimoine d’autrui. Il a en effet agi, comme il l'a lui-même indiqué à plusieurs reprises, dans le but de financer sa consommation personnelle de stupéfiants. Selon ses propres dires, il prenait la décision de se rendre dans les magasins le matin, au réveil, et une fois sur place, il se rendait directement au rayon des téléphones, sans ressentir aucune émotion jusqu'au moment du vol. Il n'apparaît ainsi pas, comme le plaide désormais l'appelant, que ses agissements relevaient d'une impulsivité non maîtrisée en raison de son trouble psychologique ou de ses capacités mentales limitées. Au contraire, l'expert a relevé que la part d'impulsivité de l'appelant était plutôt faible dès lors qu'il préparait ses agissements en se munissant d'un coupe-ongle et inventait des excuses à sa femme pour sortir seul. Interrogé sur le bilan psychologique de l'appelant versé à la procédure, l'expert a par ailleurs précisément contesté que les faits commis étaient en lien de causalité avec son trouble psychologique ou ses capacités intellectuelles, même si elles étaient limitées. Ainsi rien au dossier ne permet de renverser les conclusions de l'expert, y compris le certificat médical du 23 août 2019 qui n'apporte aucun élément supplémentaire. Le TP a dès lors pris en compte de façon adéquate la responsabilité légèrement restreinte de l'appelant dans l'examen de la faute de l'appelant. Celle-ci reste non-négligeable, y compris alors qu'il n'a agi que dans des magasins et sans porter atteinte à l'intégrité physique ou psychique d'autrui. Sa collaboration s'agissant des vols est sans particularité, au vu du contexte de ses multiples interpellations en flagrant délit, si bien qu'il pouvait difficilement contester les faits. Elle est fluctuante au sujet des violations de domicile, l'appelant persistant à contester celle du 23 décembre 2019, en contradiction manifeste avec les éléments du dossier. Il en va de même des infractions à la LStup, l'appelant alléguant désormais n'avoir consommé de la cocaïne qu'à deux reprises au cours de sa vie, et cela durant la période pénale, ce qui paraît peu plausible au vu des déclarations initiales et contradictoires de l'appelant, des trois tests positifs à la cocaïne intervenus en 2016, 2017 et 2020 et du fait qu'il a été hospitalisé en septembre 2020 pour une décompensation anxio-dépressive liée à une consommation de cocaïne. De cette persévérance à nier les faits qui précèdent, découle une prise de conscience limitée. La situation personnelle de l’appelant explique partiellement ses actes, sans les justifier, son trouble mental et psychologique et sa dépendance à la cocaïne ayant en partie motivé les faits de vol et de violation de domicile. Cet engrenage semble toutefois avoir pris fin avec le suivi thérapeutique entamé. Comme développé infra , il est essentiel, aux yeux de la CPAR, que cette amélioration se pérennise. Il y a concours d'infractions, facteur d'aggravation de la peine, ainsi que concours réel rétrospectif s'agissant des faits des 18 et 24 avril 2019, au vu de la condamnation prononcée par le MP le 30 avril 2019 à l’encontre de l’appelant à 30 jours-amende. Une peine d'ensemble pour toutes les infractions commises entre le 18 avril et le 23 décembre 2019 est exclue au vu des principes susrappelés lesquels imposent, en cas de première condamnation, le prononcé d'une peine indépendante s'agissant des infractions commises ultérieurement. L'appelant ayant commis des infractions punissables après avoir été condamné une première fois, a en effet manifesté une tendance marquée à la délinquance et ne mérite pas, au vu de la jurisprudence, d'échapper à un cumul de peines. Pour prononcer une peine d'ensemble, il faut par ailleurs que les peines soient de même genre, si bien qu'il n'est pas possible in casu , comme le requiert l'appelant, de fixer une peine privative de liberté de six mois au maximum pour l'ensemble des infractions commises durant la période pénale, y compris celles du 30 avril 2019, dès lors qu'une peine pécuniaire a été prononcée et que cette peine ne peut être revue, au vu du principe de l'autorité de la chose jugée. 3.5.1. Délits commis antérieurement à la condamnation du 30 avril 2019 Si les faits des 18 et 24 avril 2019 avaient été jugés en même temps que ceux du 30 avril 2019, une peine pécuniaire d'ensemble aurait, au vu des principes applicables, sanctionné correctement l'infraction de vol (24 avril 2019), de tentative de vol (18 avril 2019) et les deux occurrences de violation de domicile (18 et 30 avril 2019). L'infraction de vol commise le 24 avril 2019, considérée comme l'infraction abstraitement la plus grave, aurait dû être sanctionnée d'une peine pécuniaire de 30 jours-amende, ramenée à 25 jours-amende pour tenir compte de sa responsabilité légèrement restreinte. Cette peine aurait dû être aggravée de 15 jours-amende (peine hypothétique de 30 jours-amende), ramenés à 10 jours-amende pour tenir compte de sa responsabilité légèrement restreinte, pour la tentative de vol du 18 avril 2019 et de 15 jours-amende (peine hypothétique de 30 jours-amende), ramenés à 10 jours-amende pour tenir compte de sa responsabilité légèrement restreinte, pour chacune des violations de domicile des 18 et 30 avril 2019. Une peine pécuniaire globale de 55 jours-amende aurait été la sanction adéquate, d’où le prononcé d’une peine complémentaire de 25 jours-amende. Le jugement sera modifié en conséquence. Le montant du jour-amende fixé à CHF 30.- par le TP paraît adéquat au vu de la situation économique de l'appelant, lequel se déclare sans emploi mais au bénéfice de l'aide sociale. Le sursis est acquis à l'appelant et le délai d'épreuve fixé à trois ans adéquat. 3.5.2. Contravention commise antérieurement à la condamnation du 30 avril 2019 Si les faits constitutifs de dommages à la propriété d'importance mineure commis le 18 avril 2019 avaient été jugés en même temps que ceux constitutifs de vol d'importance mineure du 30 avril 2019, une amende de CHF 500.- aurait été adéquate et conforme aux principes applicables, d'où le prononcé d'une peine complémentaire égale à zéro. Il n'est dès lors pas nécessaire de fixer une peine privative de liberté de substitution. Le jugement sera également réformé en ce sens. 3.5.3. Délits commis postérieurement à la condamnation du 30 avril 2019 Choix et quotité de la peine Seule une peine privative de liberté paraît adéquate s'agissant des infractions de vol et de violation de domicile commises postérieurement à la condamnation de l'appelant du 30 avril 2019, ce que ne remet d'ailleurs pas en cause ce dernier. Sa condamnation à une peine pécuniaire ne l'a en effet manifestement pas dissuadé de récidiver, pas plus que ses interpellations et arrestations successives. Son comportement témoigne concrètement de l'absence durable de toute réelle prise de conscience de sa faute à la lumière de ses dénégations dénuées de toute crédibilité encore dans la présente procédure. L'infraction abstraitement la plus grave, soit l'infraction de vol commise à six reprises, commanderait le prononcé d'une peine privative de liberté de 120 jours, ramenée à 110 jours pour tenir compte de la responsabilité légèrement restreinte de l'appelant. Cette peine devrait être aggravée de 50 jours (peine hypothétique de 100 jours), ramenés à 40 jours pour tenir compte de la responsabilité légèrement restreinte de l'appelant, pour l'infraction de violation de domicile commise à quatre reprises. C'est donc une peine privative de liberté de 150 jours qui doit être prononcée en l'espèce. La peine privative de liberté de sept mois (210 jours) prononcée par le TP, excessive, sera donc réduite à cinq mois (150 jours) et le jugement modifié sur ce point. Sursis ou mesure thérapeutique Comme retenu à juste titre par le premier juge, le sursis est exclu en l'espèce au vu de l'antécédent spécifique et du risque de récidive relevé par l'expert. Le simple fait que l'appelant n'ait plus commis de vol depuis les faits en cause ne saurait mener à un autre résultat, tel qu'il le fait valoir, le fait de se conformer à l'ordre juridique devant être attendu de tout un chacun. Le prononcé par le TP d'une mesure thérapeutique sous la forme d'un traitement psychiatrique ambulatoire pour réduire le risque de récidive, correspond manifestement à ce que l’expert psychiatre a préconisé pour l’appelant et qui lui offre l'encadrement dont il a besoin pour surmonter ses difficultés. L'appelant a par ailleurs lui-même souligné son souhait de poursuivre le traitement entamé ainsi que son besoin d' "être tiré vers l'avant" . Une peine privative de liberté avec sursis comme requis par l'appelant, et par conséquent, sans possibilité de prononcer une mesure thérapeutique, ne serait ainsi pas à même de lui offrir la meilleure manière de le détourner de la commission de nouvelles infractions. La mesure thérapeutique, la suspension de l'exécution de la peine privative de liberté au profit de ladite mesure et l'assistance de probation pendant la durée du traitement seront donc confirmées. L'appel sera ainsi rejeté sur ce point. Révocation du sursis antérieur La non-révocation du sursis prononcé le 30 avril 2019 par le MP est acquise à l'appelant au vu de l'interdiction de la reformatio in pejus . La prolongation du délai d'un an et demi et l'avertissement prononcés par le TP, adéquats, seront confirmés (art. 46 al. 2 CP). 3.5.4. Contraventions commises après le 30 avril 2019 L'infraction de vol d'importance mineure, infraction abstraitement la plus grave, commis à deux reprises les 6 et 9 août 2019, devrait être sanctionnée d'une amende de CHF 600.-. Même à retenir que l'appelant n'aurait consommé de la cocaïne qu'à deux reprises durant la période pénale, ce qui paraît douteux, une aggravation de cette amende de CHF 200.- paraîtrait adéquate, si bien que l'amende de CHF 800.- prononcée par le TP sera confirmée, de même que la peine privative de liberté de substitution de huit jours, qui répond au taux de conversion généralement appliqué.</w:t>
      </w:r>
    </w:p>
    <w:p>
      <w:r>
        <w:rPr>
          <w:b/>
        </w:rPr>
        <w:t>E. 4</w:t>
      </w:r>
    </w:p>
    <w:p>
      <w:r>
        <w:t>Les motifs ayant conduit le premier juge à prononcer, par ordonnance séparée du</w:t>
      </w:r>
    </w:p>
    <w:p>
      <w:r>
        <w:rPr>
          <w:b/>
        </w:rPr>
        <w:t>E. 5</w:t>
      </w:r>
    </w:p>
    <w:p>
      <w:r>
        <w:t>En appel, succombant sur le plan de la culpabilité et n'obtenant gain de cause que partiellement sur celui de la peine, l'appelant sera condamné aux trois quarts des frais de la procédure envers l'Etat, qui comprendront un émolument de décision de CHF  1'500.- (art. 428 CPP et art. 14 al. 1 let. e du règlement fixant le tarif des frais en matière pénale [RTFMP]).</w:t>
      </w:r>
    </w:p>
    <w:p>
      <w:r>
        <w:rPr>
          <w:b/>
        </w:rPr>
        <w:t>E. 6</w:t>
      </w:r>
    </w:p>
    <w:p>
      <w:r>
        <w:t>Considéré globalement, l'état de frais produit par M e B______, défenseure d'office de A______ satisfait les exigences légales et jurisprudentielles régissant l'assistance judiciaire gratuite en matière pénale, sous réserve du forfait pour activités diverses qui sera réduit à 10% au vu de l'activité déployée en première instance. La rémunération de M e B______ sera partant arrêtée à CHF 2'765.10 correspondant à 11 heures et 40 minutes d'activité au tarif de CHF 200.-/heure (CHF 2'334.-) plus la majoration forfaitaire de 10% (CHF 233.40) et l'équivalent de la TVA au taux de 7.7% en CHF 197.70.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