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P/9612/2017 vom 28. August 2018</w:t>
      </w:r>
    </w:p>
    <w:p>
      <w:r>
        <w:t>GE Cour de justice, 2018-08-28, FR</w:t>
      </w:r>
    </w:p>
    <w:p>
      <w:r>
        <w:rPr>
          <w:b/>
        </w:rPr>
        <w:t xml:space="preserve">Quelle: </w:t>
      </w:r>
      <w:r>
        <w:t>https://mcp.opencaselaw.ch/entscheid/ge_gerichte_P_9612_2017</w:t>
      </w:r>
    </w:p>
    <w:p>
      <w:r>
        <w:t>FR: GE_GERICHTE P/9612/2017 du 28 août 2018</w:t>
      </w:r>
    </w:p>
    <w:p>
      <w:r>
        <w:t>IT: GE_GERICHTE P/9612/2017 del 28 agosto 2018</w:t>
      </w:r>
    </w:p>
    <w:p>
      <w:pPr>
        <w:pStyle w:val="Heading2"/>
      </w:pPr>
      <w:r>
        <w:t>Regeste</w:t>
      </w:r>
    </w:p>
    <w:p>
      <w:r>
        <w:t>DISPOSITIONS PÉNALES DE LA LSTUP ; FIXATION DE LA PEINE ; PEINE PRIVATIVE DE LIBERTÉ | LStup.19.al1; CP.47; aCP.41.al1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quotité de la peine (let. b) et les frais (let. f). La Chambre limite son examen aux violations décrites dans l'acte d'appel (art. 404 al. 1 CPP), sauf en cas de décisions illégales ou inéquitables (art. 404 al. 2 CPP).</w:t>
      </w:r>
    </w:p>
    <w:p>
      <w:r>
        <w:rPr>
          <w:b/>
        </w:rPr>
        <w:t>E. 2</w:t>
      </w:r>
    </w:p>
    <w:p>
      <w:r>
        <w:t>En l'espèce, la culpabilité de l'appelant pour infraction à l'art. 19 al. 1 LStup n'a pas été remise en cause et est ainsi, d'ores et déjà, entrée en force (art. 402 CPP a contrario ). A ce titre, le premier juge a, en particulier, définitivement retenu que l'appelant avait importé et détenu, à Genève, une quantité de 1'700 gr de marijuana, destinée à être vendue par ses soins. Il a écarté l'erreur sur l'illicéité invoqué par ce dernier, observant notamment que, selon ses premières explications, la drogue devait être vendue dans le quartier de l'Usine, connu pour le trafic de stupéfiants, et au vu du conditionnement de la drogue, emballée dans de très nombreuses couches de plastique, dans le but d'en dissimuler précautionneusement l'odeur. Une telle infraction est sanctionnée d'une peine privative de liberté de trois ans au plus ou d'une peine pécuniaire.</w:t>
      </w:r>
    </w:p>
    <w:p>
      <w:r>
        <w:rPr>
          <w:b/>
        </w:rPr>
        <w:t>E. 2.3</w:t>
      </w:r>
    </w:p>
    <w:p>
      <w:r>
        <w:t>En matière de trafic de stupéfiants, il y a lieu de tenir compte, plus spécialement, des circonstances suivantes (arrêt du Tribunal fédéral 6B_189/2017 du 7 décembre 2017 consid. 5.1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 arrêt du Tribunal fédéral 6B_189/2017 du 7 décembre 2017 consid. 5.1 et les références).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3.2.4.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nouveau droit des sanctions en vigueur depuis le 1 er janvier 2018 ne cumule plus les deux conditions précitées. Il est donc moins restrictif quant au prononcé d’une peine privative de liberté de moins de six mois et plus sévère puisqu’il n’érige plus en priorité le prononcé d’une peine alternative à la privation de liberté (art. 41 CP). 3.2.5. Le juge suspend en règle générale l'exécution d'une peine privative de liberté de six mois au moins et de deux ans au plus lorsqu'une peine ferme ne paraît pas nécessaire pour détourner l'auteur d'autres crimes ou délits (art. 42 al. 1 aCP).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w:t>
      </w:r>
    </w:p>
    <w:p>
      <w:r>
        <w:rPr>
          <w:b/>
        </w:rPr>
        <w:t>E. 3.1</w:t>
      </w:r>
    </w:p>
    <w:p>
      <w:r>
        <w:t>La réforme du droit des sanctions entrée en vigueur le 1 er janvier 2018 marque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(M. DUPUIS / L. MOREILLON / C. PIGUET / S. BERGER / M. MAZOU / V. RODIGARI [éds], op. cit ., Rem. prél. ad art. 34 à 41 CP, n. 5). À l'aune de l'art. 2 CP, cette réforme du droit des sanctions est moins favorable à la personne condamnée qui pourra ainsi revendiquer l'application du droit en vigueur au 31 décembre 2017 si les actes qu'il a commis l'ont été sous l'empire de ce droit.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 Rem. prél. ad art. 34 à 41 CP, n. 6). 3.2.1.1.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3.2.1.2. Les principes de l'art. 47 CP valent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 3.2.2.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(ATF 135 IV 87 consid. 2 p. 89).</w:t>
      </w:r>
    </w:p>
    <w:p>
      <w:r>
        <w:rPr>
          <w:b/>
        </w:rPr>
        <w:t>E. 4.1</w:t>
      </w:r>
    </w:p>
    <w:p>
      <w:r>
        <w:t>En l'espèce, il convient d'observer, à titre préalable, que les actes de l'appelant ont été commis le 7 mai 2017 et que le droit en vigueur antérieurement au 1 er janvier 2018 lui apparaît plus favorable, tel que ce dernier le remarque lui-même, de sorte qu'il en sera fait application.</w:t>
      </w:r>
    </w:p>
    <w:p>
      <w:r>
        <w:rPr>
          <w:b/>
        </w:rPr>
        <w:t>E. 4.2</w:t>
      </w:r>
    </w:p>
    <w:p>
      <w:r>
        <w:t>La faute de l'appelant est importante. Il n'a pas hésité à mettre en danger la santé de nombre de personnes en important en Suisse la quantité significative de 1'700 gr de marijuana, qui même si elle est qualifiée de douce, reste une drogue appartenant au catalogue des stupéfiants réprimés en Suisse, ni à agir au mépris des lois en comptant la vendre dans le cadre d'un trafic de rue illicite. Ses mobiles sont purement égoïstes, l'appelant n'étant pas lui-même consommateur de cette drogue et étant ainsi uniquement mû par un appât du gain facile, au préjudice de la santé d'autrui. La collaboration de l'appelant à la procédure n'a pas été bonne, de même que sa prise de conscience. Il a d'abord prétendu, devant la police, que c'était la première fois qu'il agissait ainsi. Puis, après avoir tenté de justifier ses actes par la précarité de sa situation, il a essayé de se prévaloir d'une erreur sur l'illicéité de la vente de marijuana jusqu'en première instance, quand bien même il a déjà été condamné en 2015 pour des faits similaires et malgré le conditionnement de la drogue retrouvée, démontrant son intention de la dissimuler, tel que retenu par le premier juge. Dans cette optique, revenant sur ses premières déclarations selon lesquelles il comptait écouler la drogue dans le secteur de ______, il a soutenu, de manière peu crédible, avoir voulu le faire légalement dans des magasins de tabac. Il n'a ainsi fait preuve d'aucun amendement et ses excuses apparaissent être de circonstance. La responsabilité de l'appelant était pleine et entière et son rôle dans les opérations décisif, s'étant lui-même chargé d'acheminer la drogue et de l'écouler. Aucun élément atténuant prévu à l'art. 48 CP n'entre en ligne de compte. La période pénale est cependant courte, il s'agit d'un acte unique, bien que s'inscrivant dans un contexte international. La situation personnelle de l'appelant, aussi précaire qu'elle fût, ne justifiait pas la commission de cet acte. Le prévenu disposait d'un titre de séjour espagnol, lui permettant de travailler légalement dans ce pays, voire d'y obtenir de l'aide, et pouvait manifestement déjà employer la somme non négligeable investie dans l'achat de la drogue pour aider substantiellement sa famille, sans compter l'argent utilisé pour son voyage. L'appelant a un antécédent spécifique et, sans tenir compte du sursis alors accordé, il a réitéré ses actes illicites dans le délai d'épreuve imparti. La peine précédemment infligée à l'appelant, ni les 23 jours de détention préventive subis dans ce contexte, n'ont eu l'effet dissuasif escompté et, contrairement à ce qu'il soutient, il ne saurait être retenu qu'une peine pécuniaire, qui plus est assortie du sursis, serait davantage dissuasive aujourd'hui, l'appelant n'ayant fait état d'aucune perspective licite et régulière de revenus. Il s'est d'ailleurs montré contradictoire au sujet de sa situation financière, avançant au gré des besoins de sa cause, tantôt qu'il dispose de ressources financières, pour requérir le prononcé d'une peine pécuniaire plutôt que privative de liberté, tantôt qu'il est démuni, afin de justifier ses actes ou de réduire au minimum le montant du jour-amende. A sa situation obérée s'ajoute l'absence de domicile du prévenu en Suisse, qui empêchera toute possibilité d'exécution forcée. De même, au vu de ces circonstances, un travail d'intérêt général n'est pas non plus envisageable. Dans ces conditions, compte tenu en particulier de la récidive de l'appelant dans le délai d'épreuve et de sa situation financière précaire, le pronostic est défavorable et seule une courte peine privative de liberté ferme, dont la quotité peut adéquatement être arrêtée à 120 jours, sera véritablement de nature à sanctionner sa faute et à le dissuader de récidiver. Pour le surplus, il n'y a pas lieu de revenir sur la renonciation du premier juge à révoquer le sursis accordé à l'appelant le 24 juin 2015, faute d'appel du Ministère public sur ce point et compte tenu du principe de l'interdiction de reformatio in pejus (art. 391 al. 2 CPP). Partant, le jugement entrepris doit être intégralement confirmé et l'appel rejeté.</w:t>
      </w:r>
    </w:p>
    <w:p>
      <w:r>
        <w:rPr>
          <w:b/>
        </w:rPr>
        <w:t>E. 5</w:t>
      </w:r>
    </w:p>
    <w:p>
      <w:r>
        <w:t>L'appelant, qui succombe, supportera les frais de la procédure envers l'État, comprenant en appel un émolument d'arrêt de CHF 1'000.-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