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P/9596/2025 vom 7. Mai 2025</w:t>
      </w:r>
    </w:p>
    <w:p>
      <w:r>
        <w:t>GE Cour de justice, 2025-05-07, FR</w:t>
      </w:r>
    </w:p>
    <w:p>
      <w:r>
        <w:rPr>
          <w:b/>
        </w:rPr>
        <w:t xml:space="preserve">Quelle: </w:t>
      </w:r>
      <w:r>
        <w:t>https://mcp.opencaselaw.ch/entscheid/ge_gerichte_P_9596_2025</w:t>
      </w:r>
    </w:p>
    <w:p>
      <w:r>
        <w:t>FR: GE_GERICHTE P/9596/2025 du 7 mai 2025</w:t>
      </w:r>
    </w:p>
    <w:p>
      <w:r>
        <w:t>IT: GE_GERICHTE P/9596/2025 del 7 maggio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b CPP), a qualité pour agir, ayant un intérêt juridiquement protégé à la modification ou à l'annulation de la décision querellée (art. 382 al. 1 CPP).</w:t>
      </w:r>
    </w:p>
    <w:p>
      <w:r>
        <w:rPr>
          <w:b/>
        </w:rPr>
        <w:t>E. 2</w:t>
      </w:r>
    </w:p>
    <w:p>
      <w:r>
        <w:t>Le recourant s'oppose à l'établissement de son profil d'ADN dans le cadre de la présente procédure.</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art. 197 al. 1 CPP; ATF 147 I 372 consid. 2.3.3).</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 De manière générale, le recours à l'analyse ADN se justifie notamment dans le cas de délits particulièrement graves contre la vie et l'intégrité corporelle, délits au cours desquels les auteurs et les victimes se heurtent avec violence, à strictement parler, et laissent ainsi des traces sur l'autre partie et sur l'environnement (L. MOREILLON / A. PAREIN-REYMOND, Code de procédure pénale - Petit commentaire , 3 ème éd., Bâle 2025, N. 4 ad remarques préliminaires aux art. 255 à 25 CPP).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selon l'ordonnance querellée, le Ministère public a ordonné l'établissement du profil d'ADN du recourant car des indices concrets laissaient selon lui penser que le précité pourrait avoir commis d'autres crimes et délits que ceux dont il est soupçonné dans la présente procédure (art. 255 al. 1 bis CPP). Toutefois, la motivation de l'ordonnance querellée fait référence à " une prévenue " et à des antécédents d'infractions qui ne concernent pas le prévenu. Devant la Chambre de céans, le Ministère public, tout en admettant que cette motivation procédait d'une erreur, estime que le recourant remplirait les conditions pour un établissement de son profil d'ADN tant sur la base de l'art. 255 al. 1 bis CPP que pour permettre d'élucider les infractions qui lui sont actuellement reprochées (art. 255 al. 1 CPP), soit la séquestration et enlèvement, et le brigandage (art. 255 al. 1 CPP). Dans ce contexte, c'est-à-dire en présence, premièrement, d'une ordonnance dont la motivation, à la suite d'une erreur, ne correspond pas à la situation du prévenu et, deuxièmement, d'une motivation du Ministère public, en réponse au recours, qui s'éloigne de celle qui semble avoir motivé l'ordonnance querellée, la Chambre de céans n'est pas à même de statuer sur le bien-fondé de l'ordonnance querellée. Il ne lui appartient pas non plus de trouver a posteriori , une justification pour des décisions prises par l'instance précédente (cf. ACPR/1000/2023 du 22 décembre 2023 consid. 4.4), à plus forte raison lorsque la motivation de la décision querellée est erronée.</w:t>
      </w:r>
    </w:p>
    <w:p>
      <w:r>
        <w:rPr>
          <w:b/>
        </w:rPr>
        <w:t>E. 3</w:t>
      </w:r>
    </w:p>
    <w:p>
      <w:r>
        <w:t>Compte tenu de ce qui précède, l'ordonnance querellée sera annulée et la cause renvoyée au Ministère public pour qu'il rende, le cas échéant, une nouvelle décision motivée (cf. ACPR/581/2025 du 31 juillet 2025).</w:t>
      </w:r>
    </w:p>
    <w:p>
      <w:r>
        <w:rPr>
          <w:b/>
        </w:rPr>
        <w:t>E. 4</w:t>
      </w:r>
    </w:p>
    <w:p>
      <w:r>
        <w:t>Au vu de l'issue du litige, les frais de la cause seront laissés à la charge de l'État (art. 428 al. 1 CPP).</w:t>
      </w:r>
    </w:p>
    <w:p>
      <w:r>
        <w:rPr>
          <w:b/>
        </w:rPr>
        <w:t>E. 5</w:t>
      </w:r>
    </w:p>
    <w:p>
      <w:r>
        <w:t>Il n'y a pas lieu d'indemniser à ce stade (cf. art. 135 al. 2 CPP)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