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P/9586/2018 vom 22. Januar 2024</w:t>
      </w:r>
    </w:p>
    <w:p>
      <w:r>
        <w:t>GE Cour de justice, 2024-01-22, FR</w:t>
      </w:r>
    </w:p>
    <w:p>
      <w:r>
        <w:rPr>
          <w:b/>
        </w:rPr>
        <w:t xml:space="preserve">Quelle: </w:t>
      </w:r>
      <w:r>
        <w:t>https://mcp.opencaselaw.ch/entscheid/ge_gerichte_P_9586_2018</w:t>
      </w:r>
    </w:p>
    <w:p>
      <w:r>
        <w:t>FR: GE_GERICHTE P/9586/2018 du 22 janvier 2024</w:t>
      </w:r>
    </w:p>
    <w:p>
      <w:r>
        <w:t>IT: GE_GERICHTE P/9586/2018 del 22 gennaio 2024</w:t>
      </w:r>
    </w:p>
    <w:p>
      <w:pPr>
        <w:pStyle w:val="Heading2"/>
      </w:pPr>
      <w:r>
        <w:t>Regeste</w:t>
      </w:r>
    </w:p>
    <w:p>
      <w:r>
        <w:t>RESPONSABILITÉ RESTREINTE(DROIT PÉNAL);CONCOURS D'INFRACTIONS;PRINCIPE DE LA CÉLÉRITÉ;SURSIS À L'EXÉCUTION DE LA PEINE;MESURE(DROIT PÉNAL) | CP.19.al2; CP.48.lete; CP.42; CP.49.al1; CPP.5</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(art. 391 al. 1 CPP).</w:t>
      </w:r>
    </w:p>
    <w:p>
      <w:r>
        <w:rPr>
          <w:b/>
        </w:rPr>
        <w:t>E. 2.1</w:t>
      </w:r>
    </w:p>
    <w:p>
      <w:r>
        <w:t>Les infractions de vol et d'utilisation frauduleuse d'un ordinateur par métier (art. 139 ch. 1 et 2 et 147 al. 1 et 2 aCP) étaient punies, selon le droit en vigueur lors des faits, d'une peine privative de liberté de dix ans au plus ou d'une peine pécuniaire. Les infractions d'escroquerie (art. 146 al. 1 CP) et de faux dans les titres (art. 251 ch. 1 CP) sont punies d'une peine privative de liberté de cinq ans au plus ou d'une peine pécuniaire, et celle d'appropriation illégitime (art. 137 ch. 2 CP) est punie d'une peine privative de liberté de trois ans au plus ou d'une peine pécuniaire de 90 jours-amende au moins.</w:t>
      </w:r>
    </w:p>
    <w:p>
      <w:r>
        <w:rPr>
          <w:b/>
        </w:rPr>
        <w:t>E. 2.2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et 134 IV 17 consid. 2.1). L'art. 34 al. 1 CP, 1 ère phrase, prévoit que sauf disposition contraire, la peine pécuniaire est de trois jours-amende au moins et ne peut excéder 180 jours-amende. L'art. 41 al. 1 CP autorise le juge à prononcer une peine privative de liberté à la place d'une peine pécuniaire si (a) une peine privative de liberté paraît justifiée pour détourner l'auteur d'autres crimes ou délits, ou (b) s'il y a lieu de craindre qu'une peine pécuniaire ne puisse pas être exécutée. Il doit motiver le choix de la peine privative de liberté de manière circonstanciée (al. 2).</w:t>
      </w:r>
    </w:p>
    <w:p>
      <w:r>
        <w:rPr>
          <w:b/>
        </w:rPr>
        <w:t>E. 2.3</w:t>
      </w:r>
    </w:p>
    <w:p>
      <w:r>
        <w:t>Selon l'art. 19 al. 2 CP, le juge atténue la peine si, au moment d'agir, l'auteur ne possédait que partiellement la faculté d'apprécier le caractère illicite de son acte ou de se déterminer d'après cette appréciation. Le principe de la faute exige dès lors que la peine prononcée en cas d'infraction commise en état de responsabilité restreinte soit inférieure à celle qui serait infligée à un auteur pleinement responsable. La peine moins sévère résulte d'une faute plus légère. Il ne s'agit donc plus d'une atténuation de la peine, mais d'une réduction de la faute. Dans une première étape, le juge doit apprécier la culpabilité relative à l'acte (et éventuellement fixer la peine hypothétique en résultant), comme s'il n'existait aucune diminution de responsabilité. Dans un deuxième temps, il doit motiver comment la diminution de responsabilité se répercute sur l'appréciation de la faute et indiquer la peine (hypothétique). Dans une dernière phase, cette peine est éventuellement augmentée ou diminuée en raison des facteurs liés à l'auteur (ATF 136 IV 55 consid. 5.5 à 5.7).</w:t>
      </w:r>
    </w:p>
    <w:p>
      <w:r>
        <w:rPr>
          <w:b/>
        </w:rPr>
        <w:t>E. 2.4</w:t>
      </w:r>
    </w:p>
    <w:p>
      <w:r>
        <w:t>Selon l'art. 49 al. 1 CP, si, en raison d'un ou de plusieurs actes, l'auteur remplit les conditions de plusieurs peines de même genre, le juge le condamne à la peine de l'infraction la plus grave et l'augmente dans une juste proportion. Il doit, dans un premier temps,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2.5.1. L'art. 48 let. e CP prescrit au juge de diminuer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le jour de l'infraction jusqu'à celui où les faits sont définitivement constatés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Il doit se référer à la date à laquelle les faits ont été souverainement établis, et non au jugement de première instance. Ainsi, lorsque le condamné a fait appel, il faut prendre en considération le moment où le jugement de seconde instance a été rendu dès lors que ce recours a un effet dévolutif (ATF 140 IV 145 consid. 3.1). 2.5.2. 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Comme on ne peut pas exiger de l'autorité pénale qu'elle s'occupe constamment d'une seule et unique affaire, il est inévitable qu'une procédure comporte quelques temps morts. Apparaissent comme des carences choquantes une inactivité de treize ou quatorze mois au stade de l'instruction ou encore un délai de dix ou onze mois pour que le dossier soit transmis à l'autorité de recours (ATF 130 IV 54 consid. 3.3.3). La violation du principe de la célérité peut avoir pour conséquence la diminution de la peine, parfois l'exemption de toute peine ou encore une ordonnance de classement en tant qu'ultima ratio dans les cas les plus extrêmes. Il convient pour en juger de prendre en considération la gravité de l'atteinte que le retard dans la procédure a causé au prévenu, la gravité des infractions qui sont reprochées, les intérêts des lésés, la complexité du cas et à qui le retard de procédure doit être imputé (ATF 143 IV 373 consid. 1.4.1 et 135 IV 12 consid. 3.6). 2.6.1. L'art. 42 al. 1 CP, le juge suspend en règle générale l'exécution d'une peine pécuniaire ou d'une peine privative de liberté de deux ans au plus lorsqu'une peine ferme ne paraît pas nécessaire pour détourner l'auteur d'autres crimes ou délits.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et 134 IV 1 consid. 4.2.1). 2.6.2. L'art. 43 CP permet au juge de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(al. 3, 1 ère phrase). Lorsque le sursis complet est possible, le sursis partiel ne doit être prononcé que si, sous l'angle de la prévention spéciale, l'octroi du sursis pour une partie de la peine ne peut se concevoir que moyennant l'exécution de l'autre partie (ATF 144 IV 277 consid. 3.1.1 et 134 IV 1 consid. 5.3.1). 2.6.3. Aux termes de l'art. 44 al. 1 CP, si le juge suspend totalement ou partiellement l'exécution d'une peine, il impartit au condamné un délai d'épreuve de deux à cinq ans. 2.6.4. Sursis et mesures sont incompatibles, car la mesure, y compris le traitement ambulatoire, doit être de nature à écarter un risque de récidive et, partant, suppose qu'un tel risque existe. Le prononcé d'une mesure implique donc nécessairement un pronostic négatif. À l'inverse, l'octroi du sursis suppose que le juge n'ait pas posé un pronostic défavorable et, partant, qu'il ait estimé qu'il n'y avait pas de risque de récidive (ATF 135 IV 180 consid. 2.3 et 134 IV 1 consid. 3.1). Cette incompatibilité s'applique également en cas de sursis partiel, supposant qu'un pronostic défavorable ne puisse pas être posé (arrêt du Tribunal fédéral 6B_808/2022 du 8 mai 2023 consid. 7.2).</w:t>
      </w:r>
    </w:p>
    <w:p>
      <w:r>
        <w:rPr>
          <w:b/>
        </w:rPr>
        <w:t>E. 2.7</w:t>
      </w:r>
    </w:p>
    <w:p>
      <w:r>
        <w:t>En l'espèce, la faute de l'appelante pour les deux infractions commises par métier, abstraitement sanctionnées le plus sévèrement, est grave. Pendant plus de quatre mois, elle a volé dans des boîtes aux lettres près de 30 courriers ou colis, contenant essentiellement des cartes bancaires, ainsi qu'entrepris 25 opérations visant à acquérir frauduleusement, la plupart du temps avec succès, des biens commandés sur internet, notamment au moyen des cartes bancaires volées. Outre les désagréments pratiques résultant pour les lésés de la perte de leurs courriers, elle leur a causé un préjudice effectif totalisant plus de CHF 50'000.-. L'appelante n'a pas agi par nécessité, ayant toujours pu vivre de ses activités légales préalablement, mais par appât du gain facile, le vol étant devenu, selon ses propres explications, une activité addictive. Seules l'intervention des autorités et son interpellation ont mis fin à ses agissements. Sa responsabilité était très faiblement restreinte lors des faits, de sorte que la faute demeure plutôt grave même en tenant compte des conséquences sur celle-ci de ses troubles psychiatriques. L'appelante a en définitive reconnu les faits. Elle n'a pas véritablement exprimé de regrets durant l'instruction ni pu être entendue en première et seconde instances. Mais elle a bénéficié d'un suivi psychiatrique et psychologique durant près de deux ans et demi à tout le moins, à l'issue duquel elle a reconnu sa culpabilité, bien qu'ayant encore de la peine à faire le lien entre ses troubles de personnalité et le comportement lui étant reproché. Au vu de ce qui précède, l'utilisation frauduleuse d'un ordinateur par métier, infraction concrètement la plus grave nonobstant un nombre d'occurrences inférieur, eu égard au préjudice concrètement causé, justifie une peine privative de liberté de 18 mois, pouvant être étendue à 22 mois pour tenir compte du vol par métier (peine théorique de 12 mois).</w:t>
      </w:r>
    </w:p>
    <w:p>
      <w:r>
        <w:rPr>
          <w:b/>
        </w:rPr>
        <w:t>E. 2.8</w:t>
      </w:r>
    </w:p>
    <w:p>
      <w:r>
        <w:t>La faute de l'appelante, toujours en tenant compte d'une responsabilité faiblement restreinte, n'est certes que moyennement grave pour les autres infractions, portant sur des agissements plus limités et donc moins dommageables. Elle les a néanmoins commises dans les mêmes circonstances et avec le même mobile, soit l'appât d'un avantage financier rapide et indu, en causant aux lésés un préjudice concret (usurpation d'un permis d'établissement, abonnements téléphoniques incluant deux téléphones pour plus de CHF 5'000.- et achat de billets de train frauduleux). La peine pécuniaire est exclue autant pour des motifs de prévention spéciale qu'en raison de la situation financière de l'appelante. Elle a en effet déjà été condamnée à une peine de ce genre, sans que celle-ci n'ait eu d'effet dissuasif, et elle a toujours entretenu une certaine opacité quant à ses sources de gains et leurs montants. La peine fixée à 22 mois ci-avant pour sanctionner les infractions par métier peut ainsi être portée à 25 mois pour tenir compte de l'escroquerie (peine théorique de sept mois), à 28 mois pour tenir compte des deux faux dans les titres (peine théorique de trois mois pour chacun) et à 29 mois pour tenir compte de l'appropriation illégitime (peine théorique de trois mois). 2.9.1. Les premiers juges ont admis une violation du principe de célérité au vu de la période écoulée entre l'avis de prochaine clôture du 22 juin 2020 et le renvoi en jugement du 12 septembre 2022. Une telle violation n'apparaît cependant pas réalisée dans une mesure aussi importante eu égard aux éléments suivants. Le dernier avis de prochaine clôture date en réalité du 29 juin 2021 (PP C-903). Quatre ordonnances de classement dont l'une, partielle et assez longue concernait l'appelante, ont été rendues les 20 décembre 2021 et 10 janvier 2022. Le MP a encore rendu une ordonnance de refus de qualité de partie plaignante et une seconde ordonnance de classement partiel en faveur de l'appelante le 29 juin 2022. La procédure a plus globalement exigé un travail fastidieux d'examen, de tri et de synthèse des faits retenus à la charge de l'appelante (cf. acte d'accusation de 18 pages). L'inactivité imputable au MP est ainsi limitée à la période du 22 juin 2020 au 29 juin 2021. Celle-ci est suffisamment longue pour constituer une violation du principe de célérité, toutefois légère, ne justifiant qu'une faible réduction de la peine, de deux voire trois mois. Les infractions reprochées à l'appelante sont en effet graves, les faits reprochés nombreux, et le retard pris n'a pas eu de conséquences importantes pour cette dernière, les mesures de substitution auxquelles elle était encore soumise ayant été levées le 15 octobre 2020. 2.9.2. Les conditions de la circonstance atténuante en raison du temps écoulé ne sont par contre pas réalisées. L'appelante s'est en effet rendue coupable de plusieurs crimes, pour lesquels l'action pénale se prescrit dans un délai de 15 ans (art. 97 al. 1 let. b CP), dont la moitié n'est pas encore atteinte à ce jour et qui n'est dès lors de loin pas échu. Les faits étant en outre graves et la volonté délictuelle forte, la nature des infractions en cause ne justifie pas de réduire drastiquement le seuil des deux tiers du délai de prescription prévu par la jurisprudence. Les autres éléments mis en exergue par l'appelante, concernant essentiellement son bon comportement après les faits, ne compensent pas l'insuffisance du temps écoulé.</w:t>
      </w:r>
    </w:p>
    <w:p>
      <w:r>
        <w:rPr>
          <w:b/>
        </w:rPr>
        <w:t>E. 2.10</w:t>
      </w:r>
    </w:p>
    <w:p>
      <w:r>
        <w:t>Au vu de ce qui précède, la peine privative de liberté de 24 mois prononcée par les premiers juges n'est pas excessive. Ne pouvant être revue à la hausse (art. 391 al. 2 CPP), elle sera confirmée. L'imputation de 513 jours de détention avant jugement ainsi que de 91 jours pour les mesures de substitution, correspondant à 25% de leur durée au vu de leur nature, n'est pas critiquée ni n'apparaît insuffisante (art. 51 CP et ATF 140 IV 74 consid. 2.4). Elle sera confirmée, étant rappelé qu'elle ne peut pas être réformée en défaveur de l'appelante (art. 391 al. 2 CPP).</w:t>
      </w:r>
    </w:p>
    <w:p>
      <w:r>
        <w:rPr>
          <w:b/>
        </w:rPr>
        <w:t>E. 2.11</w:t>
      </w:r>
    </w:p>
    <w:p>
      <w:r>
        <w:t>Sur le plan de son suivi psychologique et psychothérapeutique, la situation actuelle de l'appelante n'est pas établie, faute pour cette dernière d'avoir comparu lors des débats de première instance et d'appel. Elle n'a pas non plus produit une quelconque pièce à ce sujet, ce qui laisse plutôt à penser qu'elle ne consulte plus de psychiatre. À teneur du dossier, elle a néanmoins bénéficié du suivi ambulatoire préconisé par l'expert à tout le moins jusqu'à la levée des mesures de substitution par le MP le 15 octobre 2020 au motif qu'elles ne s'avéraient plus justifiées, soit durant près de deux ans et demi. Bien que le travail psychothérapeutique ne fût pas achevé, elle y avait bien adhéré et exprimé dans ce cadre une critique des actes commis avec un sentiment de culpabilité. Elle a en outre été placée près d'une année et demie en détention provisoire. Libre depuis le 18 octobre 2019, elle s'est bien comportée dans l'intervalle, vit de nouveau en France voisine, a terminé sa formation de vétérinaire assistante et entamé une nouvelle formation d'assistante de vie aux familles, lui procurant un revenu certes modeste mais régulier. Au vu de ce qui précède, le risque de récidive, déjà faible en 2018 aux dires de l'expert, apparaît encore plus mince aujourd'hui. Il n'est certes pas démontré que l'appelante a terminé son suivi psychologique et psychothérapeutique, mais sa détention avant jugement conséquente, le temps écoulé dans l'intervalle sans récidive et sa situation socio-professionnelle a priori stable ne permettent désormais pas de conclure à un pronostic défavorable. La détention subie ôte à la question d'un éventuel sursis partiel toute portée réellement pratique ainsi que toute pertinence sous l'angle de la prévention spéciale. L'appelante a en effet déjà exécuté plus des trois quarts de sa peine, dont le solde est inférieur à la quotité minimale de six mois susceptible d'être suspendue. L'appelante sera en conséquence mise au bénéfice du sursis complet et le jugement réformé dans ce sens. Compte tenu de sa situation psychique incertaine et du risque de récidive résiduel en découlant, le délai d'épreuve sera fixé à quatre ans. La non-révocation de son précédent sursis lui est acquise (art. 391 al. 2 CPP).</w:t>
      </w:r>
    </w:p>
    <w:p>
      <w:r>
        <w:rPr>
          <w:b/>
        </w:rPr>
        <w:t>E. 2.12</w:t>
      </w:r>
    </w:p>
    <w:p>
      <w:r>
        <w:t>Eu égard au désormais très faible risque de récidive, le traitement ambulatoire préconisé par l'expert et ordonné par les premiers juges n'apparaît plus nécessaire pour détourner l'appelante de la commission de nouvelles infractions en relation avec le trouble dont elle souffre (cf. art. 56 al. 1 let. a, al. 2, et 63 al. 1 let. b CP). Le prononcé d'une mesure est de sucroît incompatible avec le sursis octroyé en l'espèce. Le traitement ambulatoire querellé sera dès lors annulé.</w:t>
      </w:r>
    </w:p>
    <w:p>
      <w:r>
        <w:rPr>
          <w:b/>
        </w:rPr>
        <w:t>E. 3</w:t>
      </w:r>
    </w:p>
    <w:p>
      <w:r>
        <w:t>L'appelante, qui échoue sur la question principale de la quotité de la peine, mais obtient gain de cause sur celles, plus accessoires, du sursis et du traitement ambulatoire, sera condamnée à la moitié des frais de la procédure d'appel, qui comprendront un émolument de décision de CHF 1'500.- (art. 428 CPP et 14 al. 1 let. e du règlement fixant le tarif des frais en matière pénale [RTFMP]). Bien que le jugement querellé soit partiellement réformé, il ne se justifie pas de revoir la répartition des frais de première instance (art. 428 al. 3 CPP). La culpabilité de l'appelante demeure en effet acquise et elle n'a été acquittée ou la procédure n'a été classée que pour une partie marginale des nombreuses charges retenues contre elle (art. 426 al. 1 CPP).</w:t>
      </w:r>
    </w:p>
    <w:p>
      <w:r>
        <w:rPr>
          <w:b/>
        </w:rPr>
        <w:t>E. 4</w:t>
      </w:r>
    </w:p>
    <w:p>
      <w:r>
        <w:t>Considéré globalement, l'état de frais produit par M e C______, défenseure d'office de A______, satisfait les exigences légales et jurisprudentielles régissant l'assistance judiciaire gratuite en matière pénale, étant rappelé qu'elle n'est intervenue qu'au stade de l'appel. Sa rémunération sera partant arrêtée à CHF 4'049.50, correspondant à 15h15 d'activité au tarif de CHF 200.-/heure (CHF 3'050.-), plus la majoration forfaitaire de 20% (CHF 610.-), le forfait de déplacement de CHF 100.- et l'équivalent de la TVA au taux de 7.7% en CHF 289.50.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