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P/9579/2021 vom 23. November 2021</w:t>
      </w:r>
    </w:p>
    <w:p>
      <w:r>
        <w:t>GE Cour de justice, 2021-11-23, FR</w:t>
      </w:r>
    </w:p>
    <w:p>
      <w:r>
        <w:rPr>
          <w:b/>
        </w:rPr>
        <w:t xml:space="preserve">Quelle: </w:t>
      </w:r>
      <w:r>
        <w:t>https://mcp.opencaselaw.ch/entscheid/ge_gerichte_P_9579_2021</w:t>
      </w:r>
    </w:p>
    <w:p>
      <w:r>
        <w:t>FR: GE_GERICHTE P/9579/2021 du 23 novembre 2021</w:t>
      </w:r>
    </w:p>
    <w:p>
      <w:r>
        <w:t>IT: GE_GERICHTE P/9579/2021 del 23 novembre 2021</w:t>
      </w:r>
    </w:p>
    <w:p>
      <w:pPr>
        <w:pStyle w:val="Heading2"/>
      </w:pPr>
      <w:r>
        <w:t>Regeste</w:t>
      </w:r>
    </w:p>
    <w:p>
      <w:r>
        <w:t>QUALITÉ POUR AGIR ET RECOURIR;REPRÉSENTATION LÉGALE;VIOLATION DU DEVOIR D'ASSISTANCE OU D'ÉDUCATION;PLACEMENT D'ENFANTS | CPP.106; CP.219; CPP.382</w:t>
      </w:r>
    </w:p>
    <w:p>
      <w:pPr>
        <w:pStyle w:val="Heading2"/>
      </w:pPr>
      <w:r>
        <w:t>Erwägungen</w:t>
      </w:r>
    </w:p>
    <w:p>
      <w:r>
        <w:rPr>
          <w:b/>
        </w:rPr>
        <w:t>E. 1</w:t>
      </w:r>
    </w:p>
    <w:p>
      <w:r>
        <w:t>La Chambre de céans peut décider d'emblée de traiter sans échange d'écritures ni débats les actes manifestement irrecevables ou mal fondés (art. 390 al. 2 et 5 a contrario CPP). Tel est le cas en l'occurrence, au vu des considérations qui suivent.![endif]&gt;![if&gt;</w:t>
      </w:r>
    </w:p>
    <w:p>
      <w:r>
        <w:rPr>
          <w:b/>
        </w:rPr>
        <w:t>E. 2.1</w:t>
      </w:r>
    </w:p>
    <w:p>
      <w:r>
        <w:t>Le recours, formé pour violation de l'art. 219 CP uniquement, a été déposé selon la forme et dans le délai prescrits (art. 385 al. 1 et 396 al. 1 CPP) à l'encontre d'une ordonnance sujette à recours auprès de la Chambre de céans (art. 393 al. 1 let. a CPP).![endif]&gt;![if&gt;</w:t>
      </w:r>
    </w:p>
    <w:p>
      <w:r>
        <w:rPr>
          <w:b/>
        </w:rPr>
        <w:t>E. 2.2</w:t>
      </w:r>
    </w:p>
    <w:p>
      <w:r>
        <w:t>Toutefois, il convient de déterminer si la recourante dispose de la qualité pour recourir.</w:t>
      </w:r>
    </w:p>
    <w:p>
      <w:r>
        <w:rPr>
          <w:b/>
        </w:rPr>
        <w:t>E. 2.2.1</w:t>
      </w:r>
    </w:p>
    <w:p>
      <w:r>
        <w:t>La partie dont émane le recours doit pouvoir se prévaloir d'un intérêt juridiquement protégé à l'annulation ou à la modification de la décision (art. 382 al. 1 CPP). Revêt la qualité de partie, le lésé qui déclare expressément vouloir participer à la procédure comme demandeur au civil ou au pénal (art. 104 al. 1 let. b et 118 al. 1 CPP). Le lésé est celui dont les droits sont directement touchés par une infraction (115 al. 1 CPP). Pour déterminer si une personne revêt un tel statut, il convient d'interpréter le texte de la disposition pénale enfreinte afin de savoir quel est le titulaire du bien juridique protégé (arrêt du Tribunal fédéral 6B_1185/2019 du 13 janvier 2020 consid. 2.1). L'infraction réprimée par l'art. 219 CP sanctionne le comportement de celui qui aura violé son devoir d'assister ou d'élever une personne mineure dont il aura ainsi mis en danger le développement physique ou psychique, ou qui aura manqué à ce devoir. Le bien juridique protégé par cette disposition est le développement physique ou psychique du mineur, soit d'une personne âgée de moins de 18 ans (arrêt du Tribunal fédéral 1B_500/2017 du 9 mars 2018 consid. 3.2 ; ATF 126 IV 136 consid. 1b p. 138). Son titulaire est par conséquent l'enfant et non ses parents (arrêt du Tribunal fédéral 6B_1100/2016 du 25 octobre 2017 consid. 1.4). L'art. 116 al. 2 CPP confère aux proches de la victime – soit notamment à la mère de la personne lésée qui, du fait d'une infraction, aurait subi une atteinte directe à son intégrité physique/psychique (art. 116 CPP) – un statut de victime indirecte. Le droit du proche de se constituer personnellement partie plaignante implique, ce que confirme la combinaison des art. 117 al. 3 et 122 al. 2 CPP, qu'il fasse valoir des prétentions civiles propres dans la procédure pénale (ATF 139 IV 89 consid. 2.2 ; arrêt du Tribunal fédéral 6B_1105/2016 du 14 juin 2017 consid. 2.1 et 2.2 ainsi que les références citées). À défaut, la qualité de partie lui est déniée (arrêt du Tribunal fédéral 6B_1105/2016 précité). Ses prétentions doivent, en outre, apparaître fondées, sous l'angle de la vraisemblance (ATF 139 IV 89 précité). La jurisprudence est restrictive quant à l'allocation d'une indemnité pour tort moral (art. 49 CO) aux parents d'un enfant lésé, exigeant qu'ils soient touchés avec la même intensité qu'en cas de décès de ce dernier (ATF 139 IV 89 précité, consid. 2.4 ; ATF 125 III 412 consid. 2a).</w:t>
      </w:r>
    </w:p>
    <w:p>
      <w:r>
        <w:rPr>
          <w:b/>
        </w:rPr>
        <w:t>E. 2.2.2</w:t>
      </w:r>
    </w:p>
    <w:p>
      <w:r>
        <w:t>En l'espèce, la mineure B______ est seule titulaire du bien juridique protégé par l'art. 219 CP, à l'exclusion de sa mère. A______, qui agit en son propre nom, ne détaille nullement, dans son recours, les motifs pour lesquels elle s'estimerait fondée à recourir, pour elle-même, contre l'ordonnance de non-entrée en matière s'agissant de l'infraction à l'art. 219 CP. À supposer que ce soit en raison de sa qualité de proche de la victime au sens de l'art. 116 al. 1 CPP, encore faudrait-il qu'elle puisse rendre vraisemblable qu'elle ait subi, du chef du comportement prêté aux mis en cause, des souffrances morales comparables à celles qui auraient été les siennes en cas de décès de sa fille. Or, la recourante n'a jamais laissé entendre qu'elle aurait été elle-même directement atteinte par les agissements ou manquements qu'elle reproche au SPMI et au foyer. Il s'ensuit que la recourante n'a pas qualité pour recourir à titre personnel en lien avec l'art. 219 CP, seule infraction visée par le recours. Les développements de la recourante ne permettent pas non plus de conclure qu'elle agirait au nom de sa fille mineure (art. 106 al. 2 CPP), âgée aujourd'hui de 15 ans, dont elle disposerait à tout le moins de l'accord tacite ou que cette dernière, par hypothèse, ne serait pas en mesure d'exercer ses droits strictement personnels de manière autonome (arrêt du tribunal fédéral 6B_301/2021 du 21 juillet 2021 consid. 1.2.1; arrêt du Tribunal fédéral 6P.121/2003 du 9 octobre 2003 consid. 3.2; Y. JEANNERET/ A. KUHN/ C. PERRIER DEPEURSINGE (éds), Commentaire romand : Code de procédure pénale suisse , 2ème éd., Bâle 2019, n. 14 ad art. 106). Au contraire, il est observé que le présent recours et la plainte pénale ont été formés au seul nom de la recourante, sans qu'il soit possible d'en déduire qu'elle entendait représenter sa fille, laquelle n'a au demeurant pas participé à la procédure pénale. Partant, on ne saurait raisonnablement soutenir que la recourante agit en représentation de sa fille. Pour toutes ces raisons, le présent recours sera déclaré irrecevable.</w:t>
      </w:r>
    </w:p>
    <w:p>
      <w:r>
        <w:rPr>
          <w:b/>
        </w:rPr>
        <w:t>E. 3</w:t>
      </w:r>
    </w:p>
    <w:p>
      <w:r>
        <w:t>La recourante, qui succombe, supportera les frais envers l'État fixés en totalité à CHF 900.- (art. 428 al. 1 CPP et 13 al. 1 du Règlement fixant le tarif des frais en matière pénale, RTFMP ; E 4 10.03), émolument de décision compris.![endif]&gt;![if&gt;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