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P/954/2023 vom 8. August 2024</w:t>
      </w:r>
    </w:p>
    <w:p>
      <w:r>
        <w:t>GE Cour de justice, 2024-08-08, FR</w:t>
      </w:r>
    </w:p>
    <w:p>
      <w:r>
        <w:rPr>
          <w:b/>
        </w:rPr>
        <w:t xml:space="preserve">Quelle: </w:t>
      </w:r>
      <w:r>
        <w:t>https://mcp.opencaselaw.ch/entscheid/ge_gerichte_P_954_2023</w:t>
      </w:r>
    </w:p>
    <w:p>
      <w:r>
        <w:t>FR: GE_GERICHTE P/954/2023 du 8 août 2024</w:t>
      </w:r>
    </w:p>
    <w:p>
      <w:r>
        <w:t>IT: GE_GERICHTE P/954/2023 del 8 agosto 2024</w:t>
      </w:r>
    </w:p>
    <w:p>
      <w:pPr>
        <w:pStyle w:val="Heading2"/>
      </w:pPr>
      <w:r>
        <w:t>Regeste</w:t>
      </w:r>
    </w:p>
    <w:p>
      <w:r>
        <w:t>CP.286</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L'art. 286 CP réprime celui qui empêche une autorité, un membre d'une autorité ou un fonctionnaire de faire un acte entrant dans ses fonctions. Pour qu'il y ait infraction à l'art. 286 CP, il faut que l'auteur, par son comportement, entrave l'autorité ou le fonctionnaire dans l'accomplissement d'un acte officiel. La norme définit une infraction de résultat. Il n'est pas nécessaire que l'auteur parvienne à éviter effectivement l'accomplissement de l'acte officiel. Il suffit qu'il le rende plus difficile, l'entrave ou le diffère (ATF 133 IV 97 consid. 4.2 p. 100, 127 IV 115 consid. 2 p. 118, 124 IV 127 consid. 3a p. 129). Il ne suffit pas non plus qu'il se borne à ne pas obtempérer à un ordre qui lui est donné, par exemple de souffler dans l'éthylomètre, de parler moins fort ou de ne pas conduire (ATF 127 IV 115 consid. 2 p. 117, 120 IV 136 consid. 2a p. 139 et références citées). Le seul fait d'exprimer son désaccord à l'endroit d'un acte entrepris par un fonctionnaire, mais sans l'entraver, ne suffit pas (ATF 105 IV 48 consid. 3 p. 49). L'art. 286 CP n'est pas applicable si ce n'est pas l'acte officiel qui est rendu plus difficile, mais seulement le résultat escompté, par exemple en prévenant les automobilistes d'un contrôle radar (ATF 104 IV 288 consid. 3b p. 291, 103 IV 186 consid. 4/5 p. 188). Le comportement incriminé à l'art. 286 CP suppose une résistance qui implique une certaine activité ; celui qui, dans le dessein d'échapper à une poursuite pénale, fait échouer un contrôle de police, sans que son action se situe dans le cours d'un acte de l'autorité suffisamment concret, ne se rend pas coupable de l'infraction prévue à l'art. 286 CP (ATF 133 IV 97 consid. 4.2 p. 100, 127 IV 115 consid. 2 p. 117 et les références citées). Celle-ci est réalisée, par exemple, par le fait de prendre la fuite (ATF 120 IV 136 consid. 2a p. 140 et les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(B. CORBOZ, Les infractions en droit suisse, vol. II, 3 e éd., 2010, n. 13 ad art. 286 CP). L'infraction réprimée à l'art. 286 CP requiert l'intention ; le dol éventuel suffit.</w:t>
      </w:r>
    </w:p>
    <w:p>
      <w:r>
        <w:rPr>
          <w:b/>
        </w:rPr>
        <w:t>E. 2.2</w:t>
      </w:r>
    </w:p>
    <w:p>
      <w:r>
        <w:t>En l’espèce, l’appelant conteste avoir fait obstacle à un acte officiel suffisamment concret, au motif que les policiers n’avaient pas encore manifesté l’injonction de s’arrêter lorsqu’il a fait demi-tour. Il conteste notamment être parti en courant. Force est toutefois de constater qu’il a édulcoré sa version des faits au fil de ses auditions, réduisant à chaque fois l’ampleur de sa fuite. Or, il ressort clairement du rapport d’arrestation – dont il n’a pas contesté la teneur, soutenant même que sa version et celle des policiers « ne sont pas contradictoires » – que l’appelant a pris conscience de l’intention des policiers de procéder à un contrôle, en voyant le véhicule faire demi-tour, puis les policiers ouvrir la portière devant lui, geste qui, selon sa dernière version, a suscité sa fuite : il a donc bien tenté de se soustraire au contrôle. Au surplus, même s’il devait être considéré (ce que la Cour ne retient pas) que les policiers n’avaient alors pas encore clairement manifesté leur intention d’intervenir, il ressort tout aussi clairement du rapport d’arrestation et des premières déclarations de l’appelant, qui a admis avoir empêché les policiers de faire leur travail, qu’il a effectivement couru, d’abord en direction du pont Sous-Terre, puis dans le sens contraire, avant de finalement obtempérer à l’injonction de s’arrêter, non sans avoir enjambé deux barrières. Même si, au final, il n’a pas parcouru une grande distance et a pu être interpellé à proximité du lieu de l’intervention, il n’en demeure pas moins que sa fuite a nécessité, à teneur du rapport de police, plusieurs injonctions à son intention ; par ailleurs, la distance totale parcourue est manifestement supérieure aux trois à cinq mètres qu’il invoque, dans la mesure où il a, à teneur du rapport de police, effectué un aller-retour en raison des obstacles urbains. Les conditions d’application de l’art. 286 CP sont donc bel et bien réalisées et le verdict de culpabilité sera confirmé.</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p. 244 ss).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141 IV 61 consid. 6.1.1). L'art. 47 CP confère un large pouvoir d'appréciation au juge (ATF 144 IV 313 consid. 1.2).</w:t>
      </w:r>
    </w:p>
    <w:p>
      <w:r>
        <w:rPr>
          <w:b/>
        </w:rPr>
        <w:t>E. 3.2</w:t>
      </w:r>
    </w:p>
    <w:p>
      <w:r>
        <w:t>La peine pécuniaire constitue la sanction principale dans le domaine de la petite et moyenne criminalité.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137 II 297 consid. 2.3.4 p. 301, 134 IV 97 consid. 4.2 p. 100 s., 144 IV 313 consid. 1.1.1 ; arrêt du Tribunal fédéral 6B_420/2017 du 15 novembre 2017 consid. 2.1), pas plus que sa situation économique ou le fait que son insolvabilité apparaisse prévisible (ATF 134 IV 97 consid. 5.2.3 p. 104).</w:t>
      </w:r>
    </w:p>
    <w:p>
      <w:r>
        <w:rPr>
          <w:b/>
        </w:rPr>
        <w:t>E. 3.3</w:t>
      </w:r>
    </w:p>
    <w:p>
      <w:r>
        <w:t>En l’espèce, l’appelant a agi essentiellement par crainte et par réflexe, mais a rapidement abandonné la résistance pour se soumettre au contrôle. Sa faute est légère. Sa situation personnelle n’explique ni ne justifie son comportement. Il ne discute pas, au-delà de l’acquittement plaidé, la peine prononcée par le premier juge, qui apparaît adéquate et proportionnée à l’ensemble des circonstances. Le montant du jour-amende, qui correspond au minimum légal, apparaît également approprié dans la mesure où l’appelant réalise un revenu régulier. L’appel est donc rejeté et le jugement entrepris intégralement confirmé.</w:t>
      </w:r>
    </w:p>
    <w:p>
      <w:r>
        <w:rPr>
          <w:b/>
        </w:rPr>
        <w:t>E. 4.1</w:t>
      </w:r>
    </w:p>
    <w:p>
      <w:r>
        <w:t>L'appelant, qui succombe, supportera les frais de la procédure envers l'État (art. 428 CPP).</w:t>
      </w:r>
    </w:p>
    <w:p>
      <w:r>
        <w:rPr>
          <w:b/>
        </w:rPr>
        <w:t>E. 4.2</w:t>
      </w:r>
    </w:p>
    <w:p>
      <w:r>
        <w:t>Au vu du rejet de l’appel, l’appelant sera débouté de ses conclusions en indemnisation (art. 429 et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