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P/9537/2013 vom 17. Februar 2015</w:t>
      </w:r>
    </w:p>
    <w:p>
      <w:r>
        <w:t>GE Cour de justice, 2015-02-17, FR</w:t>
      </w:r>
    </w:p>
    <w:p>
      <w:r>
        <w:rPr>
          <w:b/>
        </w:rPr>
        <w:t xml:space="preserve">Quelle: </w:t>
      </w:r>
      <w:r>
        <w:t>https://mcp.opencaselaw.ch/entscheid/ge_gerichte_P_9537_2013</w:t>
      </w:r>
    </w:p>
    <w:p>
      <w:r>
        <w:t>FR: GE_GERICHTE P/9537/2013 du 17 février 2015</w:t>
      </w:r>
    </w:p>
    <w:p>
      <w:r>
        <w:t>IT: GE_GERICHTE P/9537/2013 del 17 febbraio 2015</w:t>
      </w:r>
    </w:p>
    <w:p>
      <w:pPr>
        <w:pStyle w:val="Heading2"/>
      </w:pPr>
      <w:r>
        <w:t>Regeste</w:t>
      </w:r>
    </w:p>
    <w:p>
      <w:r>
        <w:t>PEINE; FIXATION DE LA PEINE; DÉFENSE D'OFFICE; FRAIS DE LA PROCÉDURE | CP.49.1; CP.47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2.1.2.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Le Tribunal fédéral a précisé que le moment à prendre en considération, s'agissant de déterminer si la première condamnation était intervenue avant ou après la nouvelle infraction, était celui de la date du prononcé du jugement, et non de son entrée en force, car le jugement ne pouvait en principe plus être modifié dès son prononcé déjà (ATF 129 IV 113 consid.1.2).</w:t>
      </w:r>
    </w:p>
    <w:p>
      <w:r>
        <w:rPr>
          <w:b/>
        </w:rPr>
        <w:t>E. 2.2</w:t>
      </w:r>
    </w:p>
    <w:p>
      <w:r>
        <w:t>En l'occurrence, la faute de l'appelant ne saurait être considérée comme de peu de gravité. Le fait qu'il n'ait pas lui-même brisé la vitre de la voiture cambriolée n'est guère relevant, dans la mesure où il ne conteste pas s'être pleinement associé à cet agissement de son comparse, qui constituait un préalable nécessaire à la commission du vol reproché et reconnu. Le mobile des infractions de dommages à la propriété et de vol est bien celui de l'appât du gain – à défaut d'avidité, qui n'a pas été évoquée par le premier juge - au détriment du patrimoine d'autrui. En persistant à séjourner en Suisse nonobstant les décisions tant pénales qu'administrative déjà prononcées à son encontre, l'appelant démontre son absence de respect pour les règles de l'ordre juridique suisse, sur lesquelles il prétend faire prévaloir son choix personnel. C'est au demeurant ce choix qui est en premier lieu à l'origine de sa situation de précarité, celle-ci découlant de son statut clandestin. Il ne saurait donc en tirer argument pour réduire sa faute, sans préjudice du fait que, comme avancé par le Ministère public, de l'aide existe pour les personnes dans sa situation. Les mauvais antécédents de l'intéressé doivent également être pris en considération. L'argument du concours rétrospectif ne saurait être suivi, au regard du but poursuivi par l'art. 49 al. 2 CP, qui est d'éviter que le prévenu ne soit condamné plus sévèrement que si le même juge avait connu de toutes les infractions commises au moment du jugement, ce qui n'est pas le cas d'infractions commises après le prononcé de l'ordonnance, fût-ce pendant le délai d'opposition, dans la mesure où un tel acte n'a pas été formé. Il convient de retenir que la jurisprudence du Tribunal fédéral citée supra s'applique également à l'hypothèse de l'ordonnance pénale. En effet, comme dans le cas d'un jugement, l'ordonnance pénale ne peut plus être modifiée par l'autorité qui l'a rendue, à tout le moins en l'absence d'opposition. Ainsi, le Ministère public n'aurait pu, apprenant que l'appelant avait récidivé durant le délai d'opposition, rétracter spontanément l'ordonnance du 23 mars 2014 pour permettre que l'appelant fut jugé simultanément pour les infractions objet de ladite ordonnance et celles à l'origine de la présente procédure. Loin d'être un argument à décharge, les récidives commises durant les trois jours qui ont suivi le prononcé de l'ordonnance du 23 mars 2014 sont donc un facteur aggravant de la faute. Au regard des circonstances, la peine privative de liberté de trois mois infligée par le premier juge doit être tenue pour adéquate. Il en va de même de la peine pécuniaire sanctionnant l'infraction à l'art. 286 al. 1 CP, qui n'est pas critiquée. L'appel sera partant rejeté.</w:t>
      </w:r>
    </w:p>
    <w:p>
      <w:r>
        <w:rPr>
          <w:b/>
        </w:rPr>
        <w:t>E. 3</w:t>
      </w:r>
    </w:p>
    <w:p>
      <w:r>
        <w:t>L'appelant, qui succombe, supportera les frais de la procédure envers l'État (art. 428 CPP), comprenant un émolument de CHF 1'000.-.</w:t>
      </w:r>
    </w:p>
    <w:p>
      <w:r>
        <w:rPr>
          <w:b/>
        </w:rPr>
        <w:t>E. 4</w:t>
      </w:r>
    </w:p>
    <w:p>
      <w:r>
        <w:t>4.1.1.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4.1.2.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w:t>
      </w:r>
    </w:p>
    <w:p>
      <w:r>
        <w:rPr>
          <w:b/>
        </w:rPr>
        <w:t>E. 4.2</w:t>
      </w:r>
    </w:p>
    <w:p>
      <w:r>
        <w:t>L'état de frais présenté par le défenseur d'office de l'appelant respecte les principes sus-énoncés, de sorte qu'il y a lieu de lui allouer l'indemnité requise et de le couvrir de la TVA, sans qu'il soit nécessaire de trancher de la question soulevée, soit de déterminer qui du prévenu ou de l'Etat est le bénéficiaire de la prestation, dès lors que ni l'un ni l'autre ne sont domiciliés à l'étranger.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