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P/9518/2023 vom 17. Mai 2023</w:t>
      </w:r>
    </w:p>
    <w:p>
      <w:r>
        <w:t>GE Cour de justice, 2023-05-17, FR</w:t>
      </w:r>
    </w:p>
    <w:p>
      <w:r>
        <w:rPr>
          <w:b/>
        </w:rPr>
        <w:t xml:space="preserve">Quelle: </w:t>
      </w:r>
      <w:r>
        <w:t>https://mcp.opencaselaw.ch/entscheid/ge_gerichte_P_9518_2023</w:t>
      </w:r>
    </w:p>
    <w:p>
      <w:r>
        <w:t>FR: GE_GERICHTE P/9518/2023 du 17 mai 2023</w:t>
      </w:r>
    </w:p>
    <w:p>
      <w:r>
        <w:t>IT: GE_GERICHTE P/9518/2023 del 17 maggio 2023</w:t>
      </w:r>
    </w:p>
    <w:p>
      <w:pPr>
        <w:pStyle w:val="Heading2"/>
      </w:pPr>
      <w:r>
        <w:t>Regeste</w:t>
      </w:r>
    </w:p>
    <w:p>
      <w:r>
        <w:t>CP.292</w:t>
      </w:r>
    </w:p>
    <w:p>
      <w:pPr>
        <w:pStyle w:val="Heading2"/>
      </w:pPr>
      <w:r>
        <w:t>Erwägungen</w:t>
      </w:r>
    </w:p>
    <w:p>
      <w:r>
        <w:rPr>
          <w:b/>
        </w:rPr>
        <w:t>E. 1.1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en matière d'infraction à l'art. 292 CP; ACPR/700/2022 du 7 février 2022 consid. 1.2.3). ![endif]&gt;![if&gt;</w:t>
      </w:r>
    </w:p>
    <w:p>
      <w:r>
        <w:rPr>
          <w:b/>
        </w:rPr>
        <w:t>E. 1.2</w:t>
      </w:r>
    </w:p>
    <w:p>
      <w:r>
        <w:t>L'art. 292 CP est classé dans le Code pénal parmi les "infractions contre l'autorité publique" ( Titre 15) et protège donc en première ligne l'intérêt collectif. En ce cas,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w:t>
      </w:r>
    </w:p>
    <w:p>
      <w:r>
        <w:rPr>
          <w:b/>
        </w:rPr>
        <w:t>E. 1.3</w:t>
      </w:r>
    </w:p>
    <w:p>
      <w:r>
        <w:t>En l'espèce, bien que l'infraction dénoncée ne protège pas directement ses intérêts, la recourante est la bénéficiaire de l'interdiction sanctionnée par l'art. 292 CP – interdiction faite aux mises en cause de se dessaisir de quelque façon des certificats d'action sur lesquels elle veut exercer son droit de préemption –. L'atteinte – soit la violation de l'interdiction – revêt une certaine gravité comme l'a relevé le TPI qui a retenu que le risque que les mises en cause revendent leurs actions à un tiers acquéreur de bonne foi ne pouvait être exclu, rendant ainsi illusoire l'exercice de son droit de préemption par la recourante, si elle venait à avoir gain de cause dans la procédure civile. Le recours est ainsi recevable.</w:t>
      </w:r>
    </w:p>
    <w:p>
      <w:r>
        <w:rPr>
          <w:b/>
        </w:rPr>
        <w:t>E. 1.3.1</w:t>
      </w:r>
    </w:p>
    <w:p>
      <w:r>
        <w:t>Les conclusions nouvelles – à savoir celles formulées après l’échéance du délai de recours de dix jours – sont irrecevables. En effet, la loi ne permet pas d’accorder au justiciable une prolongation de ce délai (art. 396 al. 1 et 89 al. 1 CPP; APCR/503/2021 du 3 août 2021 consid. 3). La motivation d'un acte doit donc être entièrement contenue dans le recours lui-même (arrêt du Tribunal fédéral 1B_120/2016 du 20 juin 2016 consid. 3.1). La conclusion, prise dans la réplique, de procéder au séquestre des titres litigieux est ainsi irrecevable.</w:t>
      </w:r>
    </w:p>
    <w:p>
      <w:r>
        <w:rPr>
          <w:b/>
        </w:rPr>
        <w:t>E. 1.4</w:t>
      </w:r>
    </w:p>
    <w:p>
      <w:r>
        <w:t>Les pièces nouvelles produites devant la juridiction de céans sont par contre recevables, la jurisprudence admettant la production de faits et de moyens de preuve nouveaux en deuxième instance (arrêt du Tribunal fédéral 1B_550/2022 du 17 novembre 2022 consid. 2.2). La recourante reproche au Ministère public de ne pas être entré en matière sur sa plainte du 4 décembre 2019.</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citées).![endif]&gt;![if&gt; Le principe "in dubio pro duriore" découle du principe de la légalité (art. 5 al. 1 Cst. et 2 al. 2 CPP en relation avec les art. 19 al. 1 et 324 CPP ;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2.3</w:t>
      </w:r>
    </w:p>
    <w:p>
      <w:r>
        <w:t>Tombe sous le coup de l'art. 292 CP, celui qui ne se sera pas conformé à une décision à lui signifiée, sous la menace de la peine prévue par cet article, par une autorité ou un fonctionnaire compétents. L'art. 292 CP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 nullum crimen sine lege " de l'art. 1 CP (ATF 127 IV 119 consid. 2a et les arrêts cités). L’insoumission doit être intentionnelle, mais le dol éventuel suffit (ATF 119 IV 240 consid. 2a). Le destinataire doit donc être informé de manière précise qu'il s'expose à la peine prévue par l'art. 292 CP s'il n'obtempère pas.</w:t>
      </w:r>
    </w:p>
    <w:p>
      <w:r>
        <w:rPr>
          <w:b/>
        </w:rPr>
        <w:t>E. 2.4</w:t>
      </w:r>
    </w:p>
    <w:p>
      <w:r>
        <w:t>En l’espèce, la recourante reproche aux mises en cause d’avoir violé l’interdiction contenue dans l'ordonnance du TPI du 16 octobre 2021, contre laquelle les concernées n'ont pas recouru, prononcée sous la menace de la sanction prévue par l’art. 292 CP. L'injonction était claire en ce qu'elle faisait interdiction de vendre, transférer ou remettre à quiconque, à quelque titre que ce soit, les certificats d'actions visés. À cette suite, les concernées ont précisé que lesdits certificats se trouvaient en dépôt chez Me H______, pour leur compte, manifestant par-là avoir bien reçu et compris l'injonction. La procédure civile dans le cadre de laquelle l'injonction avait été ordonnée étant toujours pendante, il importe peu, contrairement à ce que retient le Procureur, que ce soit à l'occasion d'une autre procédure qu'il soit apparu que cet avocat ne détenait plus certains de ces certificats, sans que ni les parties ni ce conseil n'aient précisé où ils se trouvaient. Il apparaît que les titres ne sont plus en mains de la personne désignée par les mis en cause dans la procédure civile et qu'une infraction à l'art. 292 CP a vraisemblablement été commise, justifiant une instruction de la part du Ministère public. Il appartiendra au Procureur d'instruire cette cause au besoin en séquestrant les titres.</w:t>
      </w:r>
    </w:p>
    <w:p>
      <w:r>
        <w:rPr>
          <w:b/>
        </w:rPr>
        <w:t>E. 3</w:t>
      </w:r>
    </w:p>
    <w:p>
      <w:r>
        <w:t>Justifié, le recours sera admis, l'ordonnance annulée et la cause renvoyée au Ministère public pour instruction.![endif]&gt;![if&gt;</w:t>
      </w:r>
    </w:p>
    <w:p>
      <w:r>
        <w:rPr>
          <w:b/>
        </w:rPr>
        <w:t>E. 4</w:t>
      </w:r>
    </w:p>
    <w:p>
      <w:r>
        <w:t>La recourante, qui a gain de cause, ne supportera pas de frais (art. 428 al. 4 CPP).![endif]&gt;![if&gt;</w:t>
      </w:r>
    </w:p>
    <w:p>
      <w:r>
        <w:rPr>
          <w:b/>
        </w:rPr>
        <w:t>E. 5</w:t>
      </w:r>
    </w:p>
    <w:p>
      <w:r>
        <w:t>Représentée par un avocat, la recourante, partie plaignante, n'a pas chiffré ni justifié de prétentions en indemnité (art. 433 al. 2 cum 436 al. 1 CPP), de sorte qu'il ne lui en sera point alloué (arrêt du Tribunal fédéral 6B_1345/2016 du 30 novembre 2017 consid. 7.2).![endif]&gt;![if&gt;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