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P/9517/2016 vom 20. Oktober 2017</w:t>
      </w:r>
    </w:p>
    <w:p>
      <w:r>
        <w:t>GE Cour de justice, 2017-10-20, FR</w:t>
      </w:r>
    </w:p>
    <w:p>
      <w:r>
        <w:rPr>
          <w:b/>
        </w:rPr>
        <w:t xml:space="preserve">Quelle: </w:t>
      </w:r>
      <w:r>
        <w:t>https://mcp.opencaselaw.ch/entscheid/ge_gerichte_P_9517_2016</w:t>
      </w:r>
    </w:p>
    <w:p>
      <w:r>
        <w:t>FR: GE_GERICHTE P/9517/2016 du 20 octobre 2017</w:t>
      </w:r>
    </w:p>
    <w:p>
      <w:r>
        <w:t>IT: GE_GERICHTE P/9517/2016 del 20 ottobre 2017</w:t>
      </w:r>
    </w:p>
    <w:p>
      <w:pPr>
        <w:pStyle w:val="Heading2"/>
      </w:pPr>
      <w:r>
        <w:t>Regeste</w:t>
      </w:r>
    </w:p>
    <w:p>
      <w:r>
        <w:t>IN DUBIO PRO REO ; BRIGANDAGE ; INFRACTIONS CONTRE LE PATRIMOINE ; ERREUR SUR LES FAITS(DROIT PÉNAL) ; CONTRAINTE(DROIT PÉNAL) ; INFRACTIONS CONTRE LA LIBERTÉ ; FIXATION DE LA PEINE ; ÉMOTION ; ATTÉNUATION DE LA PEINE ; TENTATIVE(DROIT PÉNAL) ; DÉFENSE D'OFFICE | CP.140; CP.13; CP.181; LStup.19; LStup.19; LStup.19; LCR.95; LCR.97; LArm.33; CP.47; CP.48; CP.49; CP.22; CPP.135</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2.1.3.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spéc. p. 39). 2.2.1. Se rend coupable de brigandage selon l'art. 140 ch. 1 CP celui qui commet un vol en usant de violence à l'égard d'une personne, en la menaçant d'un danger imminent pour la vie ou l'intégrité corporelle ou en la mettant hors d'état de résister. Sur le plan subjectif, l'intention doit porter sur tous les éléments constitutifs de l'infraction, soit notamment le dessein de s'approprier la chose et de se procurer ou de procurer à un tiers un enrichissement illégitime (B. CORBOZ, Les infractions en droit suisse , vol. I, 3 e éd., Berne 2010, n. 1 à 11 ad art. 140 CP). Le dessein d’enrichissement illégitime suppose que l’auteur, par son acte, ait voulu se procurer ou procurer à un tiers tout avantage patrimonial, une erreur sur les faits étant toutefois concevable (B. CORBOZ, op. cit. , n. 14 et 15 ad art. 138 CP). Ainsi, l’enrichissement ne sera pas illégitime si l’auteur y a droit (ou croit qu’il y a droit en raison d’une erreur sur les faits ; arrêt du Tribunal fédéral 6B_17/2009 du 16 mars 2009 consid. 2.2.1 ; M. DUPUIS / L. MOREILLON / C. PIGUET / S. BERGER / M. MAZOU / V. RODIGARI [éds], Petit Commentaire du CP , 2 e éd., 2017, n. 27 ad art. 137 ss CP). L'existence de la créance invoquée par l'auteur n'est donc pas déterminante quant au dessein d'enrichissement illégitime ; c'est la conscience de l'illégitimité de l'enrichissement qui compte. Si elle fait défaut, notamment lorsque l'auteur est convaincu de l'existence de sa créance, celui-ci devra se voir appliquer l'art. 19 aCP (art. 13 CP) sur l'erreur de fait. Ce sont donc la volonté et la représentation que se fait l'auteur de la situation qui sont déterminantes (ATF 105 IV 29 consid. 3a). Le dessein d’enrichissement illégitime fait notamment défaut si, au moment de l’emploi illicite de la valeur patrimoniale, l’auteur en paie la contre-valeur ( cf. ATF 107 IV 166 consid. 2a), s’il avait, à tout moment ou, le cas échéant, à la date convenue à cet effet, la volonté et la possibilité de le faire (ATF 118 IV 32 consid. 2a) ou encore s’il était en droit de compenser (ATF 105 IV 39 consid. 3 ; arrêt du Tribunal fédéral 6B_17/2009 du 16 mars 2009 consid. 2.2.1). 2.2.2. Selon l'art. 13 al. 1 CP, quiconque agit sous l'influence d'une appréciation erronée des faits est jugé d'après cette appréciation si elle lui est favorable (al. 1). Agit sous l'emprise d'une erreur sur les faits celui qui n'a pas connaissance ou qui se base sur une appréciation erronée d'un élément constitutif d'une infraction pénale (ATF 129 IV 238 consid. 3.1 p. 240). L'intention délictuelle fait alors défaut.</w:t>
      </w:r>
    </w:p>
    <w:p>
      <w:r>
        <w:rPr>
          <w:b/>
        </w:rPr>
        <w:t>E. 2.3</w:t>
      </w:r>
    </w:p>
    <w:p>
      <w:r>
        <w:t>Se rend coupable de contrainte selon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La loi considère comme une menace tout comportement par lequel l'auteur alarme ou effraye volontairement sa victime. La menace peut prendre une forme orale ou écrite, mais aussi résulter d'un geste ou d'une allusion, ou encore être exprimée par actes concluants (ATF 99 IV 212 consid. 1a). Constitue notamment une menace le fait d'empoigner un couteau de cuisine (PKG 1963, n° 49), de casser une bouteille de bière en l'utilisant comme une arme, de faire le geste d'égorger sa victime ou encore de désassurer une arme. Peut également constituer une menace le fait de brandir une arme à feu chargée à blanc, ou hors d'état de tirer (ATF 99 IV 212 consid. 1a ; M. DUPUIS / L. MOREILLON / C. PIGUET / S. BERGER / M. MAZOU / V. RODIGARI [éds], op. cit. , n. 7 et 8 ad art. 180 CP). Il faut par ailleurs que l'auteur menace sa victime d'un dommage sérieux. Pour que le dommage annoncé soit sérieux, il n'est pas nécessaire qu'il soit si important que la victime puisse en être alarmée ou effrayée (M. DUPUIS / L. MOREILLON / C. PIGUET / S. BERGER / M. MAZOU / V. RODIGARI [éds], op. cit. , n. 13 ad art. 181 CP). 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137 IV 326 consid. 3.3.1 p. 328). Le moyen est notamment illicite lorsque l'auteur utilise la violence, par exemple en frappant la victime ou menaçant de la tuer (M. DUPUIS / L. MOREILLON / C. PIGUET / S. BERGER / M. MAZOU / V. RODIGARI [éds], op. cit. , n. 22 ad art. 181 CP). Sur le plan subjectif, il faut que l'auteur ait agi intentionnellement, c'est-à-dire qu'il ait voulu contraindre la victime à adopter le comportement visé en étant conscient de l'illicéité de son comportement ; le dol éventuel suffit (ATF 120 IV 17 consid. 2c). Lorsque la victime ne se laisse pas intimider et n'adopte pas le comportement voulu par l'auteur, ce dernier est punissable de tentative de contrainte (art. 22 al. 1 CP ; ATF 129 IV 262 ; 106 IV 125 consid. 2b p. 129). 2.4.1. En l'espèce, il n'est pas contesté que l'appelant a remis CHF 100.- à chacune des plaignantes, qu'il ne connaissait pas, en échange de prestations sexuelles, qu'il s'est retrouvé au lit, dénudé, avant de se relever soudainement. Les versions des faits des parties divergent néanmoins notablement sur les circonstances qui ont précédé et suivi l'altercation qui a ensuite débuté entre elles, avant de mener le prévenu à tirer sur la porte palière de l'appartement avec son arme. Il conviendra donc d'apprécier la crédibilité des parties à l'aune de leurs déclarations respectives. Contrairement à ce qui a été retenu par les premiers juges, les récits des parties plaignantes comportent de multiples incohérences, qui les rendent d'autant moins crédibles qu'ils se contredisent entre eux sur des points importants. S'agissant des prestations convenues, C______ a d'abord indiqué que le montant de CHF 200.- incluait " un rapport complet et une fellation avec [elles] deux ", puis, une relation sexuelle avec chacune, et enfin, une fellation par l'une d'elles et un rapport sexuel avec l'autre, cette dernière version ayant été corroborée par D______, qui a également expliqué qu'ils s'étaient en fait mis d'accord sur une prestation de 15 minutes comprenant une relation sexuelle avec chacune d'elles, au bon vouloir du client si ce laps de temps le lui permettait. Outre le fait que ces versions sont contradictoires et parfois difficilement compréhensibles, elles sont avant tout peu crédibles, dès lors qu'il semble peu vraisemblable que des professionnelles offrent gracieusement des prestations au-delà de ce qui est convenu. Les plaignantes se contredisent également sur le fait de savoir si elles ont aperçu ou non le contenu du portefeuille de l'appelant. C______ a nié, puis admis avoir vu qu'il détenait de l'argent, alors que selon sa collègue, elles avaient clairement vu son contenu, allant même jusqu'à préciser les montants et les devises des différentes coupures s'y trouvant. Sur la base de ces déclarations, il est par ailleurs impossible de déterminer si D______, qui a varié à ce sujet, a placé le billet de CHF 100.- à l'intérieur ou à l'extérieur de la chambre et, partant, de savoir si l'une des parties a pu se rendre dans une autre pièce de l'appartement après leur arrivée. Les contradictions ne s'arrêtent pas là puisque pour l'une d'entre elles, la lumière, avec le plafonnier, était normale dans la pièce, alors que pour l'autre, elle avait été éteinte, seule la lampe de chevet subsistant. Chacune des deux plaignantes a indiqué avoir elle-même mis un préservatif au prévenu et être celle qui lui prodiguait une fellation au moment où il s'était subitement levé. De manière également contradictoire, D______ a d'abord relevé à la police que durant la fellation qu'elle pratiquait, C______ caressait le prévenu, alors que devant le Ministère public, elle a précisé que, dans le même temps, ce dernier " suçait " sa collègue. Aucune des deux parties plaignantes n'a fourni la moindre explication quant au revirement soudain de l'appelant. D______ a quant à elle dévoilé qu'il s'était " transformé ", pensant qu'elles l'avaient volé, ce qui constitue un premier indice à ce surprenant changement de comportement. Les plaignantes ont toujours soutenu que le prévenu les avait par la suite agressées pour tenter de récupérer son argent, mais aussi d'obtenir leurs propres économies. Or, D______ a admis qu'elle n'avait pas compris lorsque ce dernier avait réclamé en français " tout mon argent " et qu'il est établi que les deux femmes, assistées d'un interprète durant leurs auditions, ne parlent que peu le français et ne le comprennent pas bien. Sur la base des déclarations des plaignantes, il n'est ainsi pas possible d'exclure qu'elles aient mal compris quelle était l'intention de l'appelant, d'autant plus que C______ a précisé avoir saisi les motivations de celui-ci uniquement parce qu'il avait finalement accepté de quitter la chambre pour aller chercher l'argent qu'il réclamait, alors qu'il savait que l'argent qu'il leur avait remis s'y trouvait pourtant. Elle en avait donc conclu qu'il cherchait plus d'argent que les CHF 200.- qui étaient dans la chambre. Concernant la somme de CHF 100.- qui aurait finalement été dérobée par l'appelant, l'on comprend à nouveau qu'il s'agit d'une simple déduction de C______, qui a indiqué ne pas avoir vu agir le prévenu, malgré l'espace confiné, mais avoir simplement constaté la disparition de l'argent. Les explications des parties plaignantes semblent peu vraisemblables compte tenu de l'exiguïté de la chambre, de surcroît éclairée, où le prévenu n'est jamais resté seul, D______ ne donnant aucune description de l'évènement pour sa part. Aux dires de C______, l'argent se trouvait sur une table basse sous son porte-monnaie qui, lui, n'a pas été dérobé ou vidé, ce qui paraît incompatible avec une prétendue volonté d'enrichissement de la part du prévenu. C______ et D______ n'ont donné spontanément que peu de précisions sur le coup de crosse qui aurait été porté par l'appelant à cette dernière, étant précisé qu'il est difficile de savoir si les lésions constatées par la police corroborent cette version, faute de rapport médical. Enfin, la CPAR peine à comprendre de quelle manière précisément les plaignantes ou seulement l'une d'entre elles serait parvenue à repousser le prévenu hors de l'appartement, alors même qu'il était armé et menaçant. Il résulte de ce qui précède que le déroulement des évènements, tel que donné par les parties plaignantes ne peut être retenu comme reflétant exactement la réalité des faits, dans la mesure des multiples contradictions relevées supra . A l'inverse, le récit de l'appelant est constant, cohérent et détaillé, mais surtout, il permet de saisir les raisons de son soudain changement de comportement. Il est plausible qu'il a pensé, comme il l'a exprimé à plusieurs reprises, de l'un des mouvements de l'une des parties plaignantes, qu'elle voulait s'en prendre à son argent alors que l'autre tentait de détourner son attention. Cela est compréhensible compte tenu des montants en jeu, de sa consommation d'alcool et de stupéfiants ainsi que de l'emplacement de son portefeuille, facilement accessible au vu de la configuration de la chambre et de la hauteur de l'armoire, à laquelle se trouvait accolé un petit fauteuil. Ceci explique dès lors qu'il se soit levé et ait réclamé la restitution de l'argent remis en échange d'une prestation sexuelle viciée, selon sa représentation des faits, et qui venait de débuter, sans qu'aucun acte sexuel n'intervienne encore, mis à part le placement d'un préservatif, avant de se résigner et quitter l'appartement sans cet argent, dont il n'est pas établi qu'il s'en soit saisi. Par conséquent, la CPAR retient que les versions des faits des parties plaignantes ne sont pas cohérentes entre elles et souffrent de multiples contradictions, qu'il y a lieu de retenir que le prévenu a cru à une atteinte à son patrimoine, comme cela ressort des déclarations de D______ quant aux expressions du prévenu et explique de façon cohérente l'interruption fort prématurée des prestations sexuelles convenues. Dans cette mesure, il n'est pas possible de retenir que l'appelant a tenté de s'emparer des économies des plaignantes, et cela ressort également des déclarations de D______, selon lesquelles il réclamait "[son] argent ", le fait qu'elle n'ait pas compris ce qu'il entendait par là étant, à cet égard, tout-à-fait surprenant. Il apparaît, au contraire, qu'il a cherché uniquement à récupérer l'argent qu'il avait versé pour une prestation qui n'était pas encore exécutée, l'existence d'une fellation n'étant nullement établie. Vu la tentative de vol dont l'appelant se croyait, à tort ou à raison, victime, et compte tenu de la brièveté de la relation, deux minutes tout au plus aux dires des plaignantes, le simple fait d'être nu, dans les circonstances très douteuses de l'espèce, ne peut conduire à considérer qu'il aurait dû réaliser que sa contre-prestation était d'ores et déjà acquise à ses cocontractantes. Subjectivement, son intention de s'accaparer du patrimoine d'autrui en vue d'un enrichissement illégitime fait défaut, le prévenu devant, à tout le moins, être mis au bénéfice de l'erreur sur les faits. Partant, l'appelant sera acquitté du chef de brigandage. Le jugement entrepris sera modifié et l'appel admis sur ce point. 2.4.2. Il reste à déterminer si l'appelant peut se voir reprocher d'avoir exercé un moyen de contrainte au moment où il réclamait la restitution de son argent, plus particulièrement d'avoir, dans ces circonstances, menacé ses victimes d'un dommage sérieux. Les plaignantes ont toujours maintenu avoir été frappées, menacées et insultées par le prévenu afin qu'elles lui remettent cet argent. Ce dernier a quant à lui contesté les violences physiques, en particulier les coups et le fait de les avoir tenues en joue avec son arme. Cela étant, il a admis qu'alors qu'il réclamait son argent pendant " un certain temps ", il avait gardé son arme chargée dans sa main le long de son corps, tout en usant d'expressions, telles que " donne-moi mon argent putain de merde ". Il a reconnu en audience d'appel que les parties plaignantes avaient pu ressentir " la peur de leur vie ". Ce faisant, l'appelant a ainsi indéniablement tenté de porter atteinte à la liberté d'action de ses victimes par un moyen illicite, en réclamant cet argent tout en leur faisant craindre une atteinte à leur intégrité corporelle, voire à leur vie, à l'aide d'une arme munitionnée, ce qu'elles n'ignoraient pas, ce comportement les ayant effectivement effrayées et alarmées. Comme retenu précédemment, le prévenu n'est toutefois pas parvenu à ses fins, puisque les plaignantes ne lui ont pas remis ni indiqué où se trouvaient les CHF 200.-, n'ayant pas coopéré. L'appelant sera donc reconnu coupable de tentative de contrainte et le jugement entrepris réformé en ce sens.</w:t>
      </w:r>
    </w:p>
    <w:p>
      <w:r>
        <w:rPr>
          <w:b/>
        </w:rPr>
        <w:t>E. 3</w:t>
      </w:r>
    </w:p>
    <w:p>
      <w:r>
        <w:t>3.1. En vertu de l'art. 19 al. 2 LStup, l'auteur de l'infraction est puni d'une peine privative de liberté d'un an au moins. L'infraction de mise en danger de la vie d'autrui et punie d'une peine privative de liberté de cinq ans au plus ou d'une peine pécuniaire et les infractions de contrainte et aux art. 33 al. 1 LArm, 19 al. 1 LStup, 95 al. 1 et 97 al. 1 LCR d'une peine privative de liberté de trois ans au plus ou d'une peine pécuniaire. L'infraction à l'art. 19a LStup est passible de l'amende.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 3.2.2.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(ATF 135 IV 87 consid. 2 p. 89). Les antécédents judiciaires ne sauraient toutefois conduire à une augmentation massive de la peine, parce que cela reviendrait à condamner une deuxième fois pour des actes déjà jugés (ATF 120 IV 136 consid. 3b p. 145). 3.2.3. Conformément à l'art. 48 al. 1 let. c CP, le juge atténue la peine si l'auteur a agi en proie à une émotion violente que les circonstances rendaient excusables ou s'il a agi dans un état de profond désarroi. Cette disposition de la partie générale ne trouve cependant application que si les règles de la partie spéciale ne prennent pas déjà en considération les circonstances rendant excusables l'émotion violente ou le profond désarroi (arrêt du Tribunal fédéral 6B_517/2008 du 27 août 2008 consid. 5.3.2). Il convient de se référer à la jurisprudence relative à l'art. 113 CP pour interpréter les notions d'émotion violente que les circonstances rendaient excusables et de profond désarroi (arrêts du Tribunal fédéral 6B_105/2009 du 22 mai 2009 consid. 3.1 et 6B_622/2008 du 13 janvier 2009 consid. 8.1).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p. 203 ; 118 IV 233 consid. 2a p. 236). L'état d'émotion violente ou celui de profond désarroi doit être rendu excusable par les circonstances (ATF 119 IV 203 consid. 2a p. 204 ; 118 IV 233 consid. 2a p. 236). Il doit par ailleurs s'agir de circonstances objectives, de sorte qu'il faut se demander si un tiers raisonnable, placé dans la même situation que l'auteur, se serait trouvé dans le même état (ATF 108 IV 99 consid. 3b p. 102 ; 107 IV 103 consid. 2b/bb p. 106). Enfin, il faut qu'il existe une certaine proportionnalité entre la provocation, d'une part, et la réaction de l'auteur, d'autre part (arrêt du Tribunal fédéral 6B_517/2008 du 27 août 2008 consid. 5.3.2). 3.2.4.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3.2.5. Selon l'art. 22 CP, le juge peut atténuer la peine si l'exécution d'un crime ou d'un délit n'est pas poursuivie jusqu'à son terme ou que le résultat nécessaire à la consommation de l'infraction ne se produit pas ou ne pouvait pas se produire.</w:t>
      </w:r>
    </w:p>
    <w:p>
      <w:r>
        <w:rPr>
          <w:b/>
        </w:rPr>
        <w:t>E. 3.3</w:t>
      </w:r>
    </w:p>
    <w:p>
      <w:r>
        <w:t>En l'espèce, la faute de l'appelant et très grave. Il a en effet porté atteinte à de nombreux biens juridiques, en particulier à l'intégrité corporelle et à la liberté de deux femmes. Si, comme retenu ci-dessus, il a certes pensé être l'objet d'une tentative de vol et que l'argent dont il réclamait la restitution lui appartenait, le moyen utilisé pour parvenir à ses fins était totalement disproportionné, compte tenu des circonstances. S'ajoute la futilité du mobile, à savoir obtenir une somme de CHF 200.-, au moyen d'une arme chargée. S'agissant des autres infractions pour lesquelles il a été condamné et qu'il ne conteste pas, il s'en est également pris à l'intégrité physique de ses deux victimes, étant précisé que les conséquences de sa colère mal maîtrisée auraient pu être dramatiques. Par son trafic de stupéfiants, qui portait sur des quantités importantes et s'étalait sur une longue période pénale, il a agi au mépris de la santé, voire de la vie, de nombreux consommateurs, poussé par un mobile égoïste, soit par appât du gain et pour assurer sa propre consommation. Il a enfin fait fi des normes en vigueur, tant en matière de circulation routière que sur les armes. Si l'appelant a soudainement réagi lorsqu'il a aperçu ou cru apercevoir l'une des victimes tentant de s'accaparer son portefeuille, cela ne l'avait pas mis dans un état rendu excusable par les circonstances. En effet, son état d'alcoolisation et sa toxicomanie ne se sont pas imposés à lui. Par ailleurs, la tentative de vol dont il s'est cru victime par les deux femmes, alors que lui-même était armé, ne justifiait aucunement une réaction d'une telle ampleur, totalement injustifiée, alors même qu'au final, son porte-monnaie n'avait pas subi d'atteinte. Un homme raisonnable, placé dans la même situation, n'aurait certainement pas réagi de la même manière. Bien que les circonstances aient pu le surprendre, elles ne sauraient correspondre à une émotion excusable. La circonstance atténuante de l'émotion violente sera donc écartée, tout comme les autres circonstances atténuantes de l'art. 48 CP, lesquelles ne sont ni réalisées ni plaidées. Comme l'a relevé le Tribunal correctionnel, l'enfance, mais surtout la toxicomanie de l'appelant expliquent en partie ses agissements en matière de stupéfiants. Ainsi, contrairement à ce que soulève l'appelant, il a d'ores et déjà été tenu compte par les premiers juges dans la fixation de la peine de son état de toxico-dépendance, lequel l'a en particulier amené à récidiver après quatre mois de détention préventive et malgré les mesures de substitution imposées par le Ministère public lors de la libération provisoire accordée. Par ailleurs, le prononcé d'une mesure d'expulsion du territoire Suisse, laquelle n'est d'ailleurs pas contestée pas l'appelant, n'est pas un critère dont il y a lieu de tenir compte lors de la fixation de la peine. Sa responsabilité est pleine et entière. Au cours de la procédure, l'appelant s'est montré collaborant, en particulier s'agissant du trafic de stupéfiants. Il semble par ailleurs avoir pris conscience de la gravité de ses actes, reconnaissant être allé trop loin et avoir fait beaucoup de mal aux deux plaignantes. Son comportement en prison semble totalement adéquat, étant précisé qu'il y travaille depuis le 10 mai 2017 et qu'il a récemment entrepris un suivi psychothérapeutique. Il y a concours d'infractions, hormis celle à l'art. 19a LStup passible d'une amende, et étant rappelé la peine plancher d'un an du cas grave de l'art. 19 al. 2 LStup, ce qui justifie une augmentation de la peine de l'infraction la plus grave dans une juste proportion. L'appelant a de très nombreux antécédents, spécifiques pour la plupart. Au regard de l'ensemble de ces éléments, le prévenu sera condamné à une peine privative de liberté de trois ans et six mois. L'appel sera en particulier admis dans la mesure de ce qui précède et le jugement entrepris modifié dans ce sens.</w:t>
      </w:r>
    </w:p>
    <w:p>
      <w:r>
        <w:rPr>
          <w:b/>
        </w:rPr>
        <w:t>E. 4</w:t>
      </w:r>
    </w:p>
    <w:p>
      <w:r>
        <w:t>L'appelant ayant été mis au bénéfice d'une exécution anticipée de peine, il n'y a pas lieu de prononcer son maintien en détention pour motifs de sûreté.</w:t>
      </w:r>
    </w:p>
    <w:p>
      <w:r>
        <w:rPr>
          <w:b/>
        </w:rPr>
        <w:t>E. 5</w:t>
      </w:r>
    </w:p>
    <w:p>
      <w:r>
        <w:t>L'appel ayant été admis pour l'essentiel, A______ supportera le tiers des frais de la procédure d'appel, le solde étant laissé à la charge de l'Etat (art. 428 CPP). Le prévenu se trouvant condamné pour tentative de contrainte, il ne se justifie pas de revoir la répartition des frais de première instance.</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6.2.1.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débours de l'étude inclus ( cf. décision de la Cour des plaintes du Tribunal pénal fédéral BB.2013.127 du 4 décembre 2013 consid. 3/4.2-4.4), de CHF 125.- pour un collaborateur (let. b). En cas d'assujettissement, l'équivalent de la TVA est versé en sus. 6.2.2.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6.2.3. Une majoration forfaitaire de 20% est également due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6.2.4.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w:t>
      </w:r>
    </w:p>
    <w:p>
      <w:r>
        <w:rPr>
          <w:b/>
        </w:rPr>
        <w:t>E. 6.3</w:t>
      </w:r>
    </w:p>
    <w:p>
      <w:r>
        <w:t>En l'espèce, l'activité de M e B______ est en adéquation avec la nature, l'importance et la difficulté de la cause à l'exception d'une heure et 30 minutes consacrée à l'analyse de l'opportunité de l'appel, à la lecture du jugement de première instance et à la rédaction de l'annonce et de la déclaration d'appel ainsi que de la requête en exécution anticipée de peine, activités couvertes par la majoration forfaitaire et n'ayant pas nécessité de développement ou de motivation particulière, ainsi qu'une heure et 30 minutes pour deux conférences avec le client à Champ-Dollon les 22 et 30 mai 2017, dans la mesure ou une heure et 15 minutes seront indemnisées pour une visite intervenue le 9 mai 2017 et compte tenu de la jurisprudence claire de Cour de céans à ce propos. Il convient d'y ajouter la durée de l'audience d'appel de deux heures et 30 minutes, soit un total intermédiaire de CHF 2'531.25 (soit 20 heures et 15 minutes à CHF 125.-/heure), ainsi que le forfait pour l'activité diverse à 10%, soit CHF 235.10, compte tenu de l'activité déployée et indemnisée en première instance pour plus de 46 heures, et la TVA à 8%, soit CHF 222.75. Ainsi, l'indemnisation requise sera accordée à hauteur de CHF 3'007.10.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