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P/94/2019 vom 29. Juni 2021</w:t>
      </w:r>
    </w:p>
    <w:p>
      <w:r>
        <w:t>GE Cour de justice, 2021-06-29, FR</w:t>
      </w:r>
    </w:p>
    <w:p>
      <w:r>
        <w:rPr>
          <w:b/>
        </w:rPr>
        <w:t xml:space="preserve">Quelle: </w:t>
      </w:r>
      <w:r>
        <w:t>https://mcp.opencaselaw.ch/entscheid/ge_gerichte_P_94_2019</w:t>
      </w:r>
    </w:p>
    <w:p>
      <w:r>
        <w:t>FR: GE_GERICHTE P/94/2019 du 29 juin 2021</w:t>
      </w:r>
    </w:p>
    <w:p>
      <w:r>
        <w:t>IT: GE_GERICHTE P/94/2019 del 29 giugno 2021</w:t>
      </w:r>
    </w:p>
    <w:p>
      <w:pPr>
        <w:pStyle w:val="Heading2"/>
      </w:pPr>
      <w:r>
        <w:t>Regeste</w:t>
      </w:r>
    </w:p>
    <w:p>
      <w:r>
        <w:t>CONTRAINTE SEXUELLE;VIOL;ACQUITTEMENT;IN DUBIO PRO REO;CONTRAINTE(DROIT PÉNAL);PEINE COMPLÉMENTAIRE;CONCOURS RÉEL;EXPULSION(DROIT PÉNAL);CAS DE RIGUEUR | CP.147; CP.139; CP.144; CP.156; CP.181; CP.183; CP.186; CP.190; CP.191; LEI.115.ala; LStup.19a</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les actes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2.1.2. Selon l'art. 139 ch. 1 CP, est puni celui qui, pour se procurer ou procurer à un tiers un enrichissement illégitime, aura soustrait une chose mobilière appartenant à autrui dans le but de se l'approprier. 2.1.3. L'art. 156 ch. 1 CP réprime celui qui, dans le dessein de se procurer ou de procurer à un tiers un enrichissement illégitime, aura déterminé une personne à des actes préjudiciables à ses intérêts pécuniaires ou à ceux d'un tiers, en usant de violence ou en la menaçant d'un dommage sérieux. L'art. 156 ch. 3 CP punit l'auteur qui a exercé des violences sur une personne ou s'il l'a menacée d'un danger imminent pour la vie ou l'intégrité corporelle.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(arrêt du Tribunal fédéral 6B_275/2016 du 9 décembre 2016, consid. 4.2.3; B. CORBOZ, Les infractions en droit suisse , 3 ème éd., N 18 ad art. 156). Il faut en outre un dommage, c'est-à-dire une lésion du patrimoine sous la forme d'une diminution de l'actif, d'une augmentation du passif, d'une non-augmentation de l'actif ou d'une non-diminution du passif (arrêt du Tribunal fédéral 6B_275/2016 du 9 décembre 2016 consid. 4.2.3 ; cf. ATF 122 IV 279 consid. 2a p. 281 ; 121 IV 104 consid. 2c p. 107). Sur le plan subjectif, il faut que l'auteur ait agi intentionnellement, le dol éventuel étant suffisant, et dans le dessein de se procurer ou de procurer à un tiers un enrichissement illégitime (arrêt 6B_275/2016 du 9 décembre 2016 consid. 4.2.5). 2.1.4. 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Tribunal fédéral 6B_153/2017 du 28 novembre 2017 consid. 3.1 et les références citées). Sur le plan subjectif, il faut que l'auteur ait agi intentionnellement, c'est-à-dire qu'il ait voulu contraindre la victime à adopter le comportement visé en étant conscient de l'illicéité de son comportement ; le dol éventuel suffit (ATF 120 IV 17 consid. 2c p. 22). 2.1.5. L'art. 183 ch. 1 CP punit celui qui, sans droit, aura arrêté une personne, l'aura retenue prisonnière, ou l'aura, de toute autre manière, privée de sa liberté (al. 1), celui qui, en usant de violence, de ruse ou de menace, aura enlevé une personne (al. 2). Est également punissable celui qui aura enlevé une personne incapable de discernement ou de résistance ou âgée de moins de seize ans (ch. 2). La séquestration consiste à retenir une personne en l'obligeant, par un moyen de contrainte, à rester où elle se trouve (ATF 119 IV 216 consid. 2 f ; arrêt du Tribunal fédéral 6B_448/2012 du 22 novembre 2012 consid. 3.2). L'entrave doit être d'une certaine intensité et d'une certaine durée. Les exigences en matière de durée ne sont cependant pas très élevées, quelques minutes peuvent suffire (M. DUPUIS et al ., Petit commentaire, Code pénal , 2 ème éd., N 8 ad art. 183 et les réf. citées). Le moyen qu'utilise l'auteur pour atteindre le résultat n'est pas déterminant. Par exemple, une personne peut être séquestrée par le recours à la menace ou à la violence, par la soustraction des moyens dont elle a besoin pour partir ou encore en étant placée dans des conditions telles qu'elle se sent dans l'impossibilité de s'en aller ( ibid ., N 9 ad art. 183 et les réf. citées). L'infraction est intentionnelle ; le dol éventuel suffit. L'auteur de l'infraction doit savoir ou accepter qu'il prive une personne de sa liberté d'aller et venir dans des circonstances qui rendent cette privation illicite (B. CORBOZ, op . cit ., N 40 ad art. 183 et 184). 2.1.6.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(B. CORBOZ, op . cit ., N 7 ad art. 190). Il en résulte que toute pression, tout comportement conduisant à un acte sexuel non souhaité ne saurait être qualifié de contrainte. L'art. 190 CP ne protège des atteintes à la libre détermination en matière sexuelle que pour autant que l'auteur surmonte ou déjoue la résistance que l'on pouvait raisonnablement attendre de la victime (ATF 133 IV 49 consid. 4 p. 52 ; ATF 131 IV 167 consid. 3.1 p. 170). Par acte sexuel, il faut entendre l'introduction, même partielle et momentanée, du pénis dans le vagin, l'éjaculation n'étant pas nécessaire (ATF 123 IV 49 consid. 2 p. 52).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En introduisant la notion de "pressions psychiques", le législateur a voulu viser également les cas où la victime se trouve dans une situation sans espoir, sans pour autant que l'auteur ait recouru à la force physique ou à la violence. Il peut ainsi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(ATF 131 IV 107 consid. 2.2). Compte tenu du caractère de délit de violence que revêt la contrainte sexuelle, la pression psychique générée par l'auteur doit, pour être pertinente, atteindre une intensité particulière (ATF 131 IV 167 consid.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2.1.7. L'art. 191 al. 1 CP punit l'auteur qui, sachant qu'une personne est incapable de discernement ou de résistance, en aura profité pour commettre sur elle l'acte sexuel, un acte analogue ou un autre acte d'ordre sexuel. On parle d'incapacité de discernement lorsque les aptitudes "mentales" de la personne ne lui permettent pas de comprendre la signification et la portée des relations sexuelles, et de se déterminer en toute connaissance de cause. Est incapable de résistance la personne qui n'est "physiquement" pas apte à s'opposer à des contacts sexuels non désirés (M. DUPUIS et al ., op . cit ., N 9 et 10 ad art. 191). L'art. 191 CP protège, indépendamment de leur âge et de leur sexe, les personnes incapables de discernement ou de résistance dont l'auteur, en connaissance de cause, entend profiter pour commettre avec elles un acte d'ordre sexuel.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 maladie mentale) ou passagère (par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 du Tribunal fédéral 6B_60/2015 du 25 janvier 2016 consid. 1.1.3 et 1.2.1). 2.2.1. En l'espèce, la CPAR considère comme établi, sur la base des éléments de la procédure, que les parties se sont rencontrées devant les HUG durant la nuit du 2 au 3 octobre 2018 après que A______, qui souffre d'un retard mental, a été donner son sang. Lors de leur rencontre, D______ a indiqué à la plaignante avoir une famille et que sa femme était enceinte. Ils ont ensuite pris la direction de l'appartement du prévenu et se sont arrêtés en chemin afin que ce dernier achète de la drogue. Arrivés au domicile, il a consommé de la cocaïne et s'est absenté à deux reprises pour retirer de l'argent avec la carte bancaire de la plaignante. Les versions des parties divergent quant à savoir si D______ a contraint A______ à le suivre ainsi qu'à lui remettre sa carte bancaire, s'il a soustrait de son porte-monnaie la somme de CHF 100.-, sur la douche que le prévenu lui aurait ordonné de prendre, sur la séquestration, l'agression sexuelle et les attouchements dénoncés par A______. 2.2.2. Il convient de prime abord de constater que les récits de A______ et D______ comportent tous deux des incohérences. La CPAR n'entend pas relever chaque revirement du discours des deux protagonistes durant la procédure, étant précisé que le retard mental dont est affecté la plaignante est de nature à expliquer la présence de certaines contradictions dans ses déclarations. Il est en effet établi que sa déficience mentale se manifeste notamment par des atteintes à la mémoire et que A______ raisonne comme une enfant de six ans, ce qui justifie qu'elle puisse avoir du mal à détailler certains événements. Il n'est dès lors pas adéquat de se baser sur les oublis ou divergences dans ses déclarations pour apprécier la véracité de son récit. De surcroît, les déclarations des témoins sont à prendre avec une certaine réserve, ces derniers ayant rapporté ce qu'il leur avait été déclaré par la plaignante, alors qu'ils n'étaient évidemment pas présents durant les faits qui se sont déroulés à huis clos. La CPAR s'appuiera dès lors sur les éléments objectifs à sa disposition pour forger son intime conviction quant à leur déroulement. Il est ainsi retenu que A______ a suivi D______ de son plein gré. En effet, l'examen physique de la plaignante n'a pas permis de relever de lésions compatibles avec une forme de contrainte. Le très léger et minuscule hématome relevé à son bras n'est pas suffisant pour être compatible avec la violence à déployer – à l'instar d'une préhension ferme d'un bras – pour contraindre une victime de la sorte. En outre, au vu de l'état mental de A______, tel que celui-ci ressort de son dossier médical, ainsi que du constat fait par le témoin S______ que la plaignante était prête à suivre tout le monde, alors que n'importe qui pouvait l'emmener n'importe où, il ne peut être retenu que le prévenu l'a forcée à le suivre. Le constat s'impose d'autant plus qu'elle ne s'est pas enfuie lorsqu'il l'a laissée seule devant le salon de massages AF______. Concernant la carte bancaire, aucun élément objectif au dossier ne permet d'établir que le prévenu aurait usé de violence ou menacé la plaignante d'un dommage sérieux, ou l'aurait entravée de quelque autre manière afin qu'elle lui remette sa carte. En particulier, si l'existence d'un couteau dans la salle de bains de l'appartement de D______ devait être retenue, rien n'appuie le fait que celui-ci en aurait fait usage à l'encontre de A______, ou menacé de le faire. Les conditions d'une contrainte font donc défaut. Il sera en revanche retenu que D______ a indûment utilisé cette carte bancaire aux fins d'effectuer des retraits totalisant CHF 1'900.-, sous la réserve que A______ l'avait seulement autorisé à retirer une somme d'environ CHF 30.-. S'agissant des CHF 100.- soustraits du porte-monnaie de la plaignante, la CPAR constate que lors des débats d'appel, D______ a admis qu'à l'occasion de sa rencontre avec celle-ci, il avait pensé à lui demander de l'argent, étant à la recherche de cocaïne pour sa consommation. De surcroît, il est surprenant que le prévenu a indiqué avoir justement été en possession d'une somme de CHF 100.- après que A______ avait déclaré s'être fait dérober ce montant, étant observé qu'il ne s'est donc pas d'emblée expliqué, alors même qu'on lui demandait d'être exhaustif sur les circonstances de sa rencontre. En outre, il ne fait aucun sens que la plaignante soit retournée à l'appartement du prévenu si ce n'est pour récupérer l'argent qu'il lui avait soustrait, si important à ses yeux parce qu'il représentait le fruit d'un dur labeur. Partant, la Cour retiendra que D______ a bien soustrait CHF 100.- du porte-monnaie de A______ dans le but de se l'approprier. Il ne peut être établi que la plaignante a été enfermée dans l'appartement ou une chambre de celui-ci. Aucun élément objectif au dossier ne permet de l'étayer, considérant notamment l'absence d'état des lieux en dépit du temps écoulé entre les faits et l'interpellation de D______, alors que les déclarations de A______ sont émaillées de contradictions à ce sujet – celles des parties ne concordant pas –, de sorte que le prévenu sera acquitté de ces charges. S'agissant des accusations de viol et d'attouchements, il ressort du dossier médical de la plaignante que celle-ci avait déjà par le passé simulé des accusations de viol et des attouchements intimes ou sexuels. Ses parents ont également fait part de leurs doutes quant à la véracité des propos de leur fille à cet égard. L'examen médical de A______ ne permet pas d'établir avec certitude qu'elle a subi une agression sexuelle le 3 octobre 2018. En effet, aucune lésion compatible avec une contrainte consistant en un maintien ferme par les bras, comme dénoncé, n'a été mise en évidence. Comme rappelé ci-dessus, l'hématome mis en évidence sur son avant-bras n'est pas suffisant pour étayer une telle accusation. Certes, l'ADN de D______ retrouvé au niveau des prélèvements sous-unguéaux effectués sur A______ questionne. Cela dit, il y a eu nombre d'interactions entre eux à partir de leur rencontre devant les HUG et il ne peut être exclu que l'une ou l'autre d'entre elles en soient à l'origine. L'ADN de D______ n'a par ailleurs été détecté sur aucun des prélèvements effectués sur les lèvres, les fesses, l'anus, le fornix, l'endocol et la vulve de la plaignante. Il n'a pas non plus été retrouvé sur la culotte de la plaignante. Le seul endroit où son ADN a pu être relevé l'a été au niveau des prélèvements sous-unguéaux des mains de A______, ce qui n'est pas déterminant pour une infraction d'ordre sexuel. En outre, aucun liquide séminal n'a été retrouvé. L'examen gynécologique n'a pas permis de mettre en évidence de lésion – ce qui, de l'avis des médecins-légistes reste un élément neutre ou non discriminant au regard de l'existence de violences sexuelles – ni de constater la présence de spermatozoïdes dans les parties intimes de la plaignante. Il convient de rappeler que le prévenu nie toute relation sexuelle, ce que tendent à confirmer les analyses des prélèvements biologiques. Ajoutée aux éléments négatifs qui précèdent, l'absence d'ADN sur la culotte de A______, alors qu'elle a déclaré que le prévenu la lui aurait arrachée, permet à la CPAR de considérer qu'il existe bien un faisceau d'indices à décharge de nature à susciter un doute sur une interaction sexuelle entre les deux protagonistes. La CPAR constate également que le profil criminel de D______ ne correspond pas à celui d'un délinquant sexuel. Agé de 40 ans, le précité est connu majoritairement pour des infractions contre le patrimoine. Or, il apparaît que, sous le couvert de venir en aide à la plaignante, il s'en est bien pris au patrimoine de celle-ci. Au vu des considérations qui précèdent, il subsiste un doute sérieux et insurmontable qui, en application du principe in dubio pro reo, doit profiter au prévenu, qui sera acquitté des infractions de contrainte, alternativement d'extorsion et chantage, de séquestration et enlèvement, de viol et d'actes d'ordre sexuel sur une personne incapable de discernement ou de résistance. Il sera en revanche reconnu coupable de vol d'importance mineure, outre les infractions découlant du verdict de culpabilité de première instance, non remis en cause dans le cadre des appels. 3.1.1. Les art. 139 ch. 1 CP et 147 al. 1 CP sont réprimés par une peine privative de liberté de cinq ans au plus ou une peine pécuniaire, étant précisé que si l'acte ne vise qu'un élément patrimonial de faible valeur ou un dommage de moindre importance, l'auteur sera, sur plainte, puni d'une amende (art. 172ter CP). Les art. 144 al. 1 et 186 CP, quant à eux, sont passibles, sur plainte, d'une peine privative de liberté de trois ans au plus ou d'une peine pécuniaire. L'art. 115 al. 1 LEI prévoit une peine privative de liberté d'un an au plus ou une peine pécuniaire. La contravention de l'art. 19a ch. 1 LStup est passible de l'amende. Enfin, le juge peut atténuer la peine si l'exécution d'un crime ou d'un délit n'est pas poursuivie jusqu'à son terme ou que le résultat nécessaire à la consommation de l'infraction ne se produit pas ou ne pouvait pas se produire (art. 22 al. 1 CP). 3.1.2.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3.1.3.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CP). 3.1.4.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 Grundstrafe ),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 in LawInside, 31 août 2016, http://www.lawinside.ch/304/ [31.01.17]).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J. FRANCEY, op. cit. ). Face à plusieurs condamnations antérieures, il faut rattacher chacune des infractions anciennes à la condamnation qui suit la commission de l'acte délictueux; en effet, un jugement pénal doit en principe sanctionner tous les actes répréhensibles commis avant son prononcé. Le rattachement des actes anciens à la condamnation qui les suit permet de former des groupes d'infractions (arrêt du Tribunal fédéral 6B_911/2018 du 5 février 2019 consid. 1.2.2 et les références citées). 3.2. En l'espèce, la faute de D______ est importante. Il s'en est pris à plusieurs reprises au patrimoine et à la liberté d'autrui sur une période pénale étendue. Il a notamment abusé de la confiance de A______, une jeune personne fragile et vulnérable – ce qu'il n'a manqué de réaliser –, en profitant de sa naïveté pour utiliser indûment sa carte bancaire à hauteur de CHF 1'870.- et lui dérober la somme de CHF 100.-. Il a également commis plusieurs cambriolages de caves par effraction – plus d'une dizaine ayant été ciblées –, tant au printemps 2019 qu'au printemps 2020, les tentant, sinon les achevant pour s'approprier un butin lui ayant servi à financer notamment sa consommation de stupéfiants. Il a enfin fait fi des décisions d'autorité prises à son endroit en raison de son statut d'étranger. Il a agi par appât du gain et au mépris de l'ordre public. Sa situation personnelle n'excuse en rien ses agissements et n'était par ailleurs aucunement désespérée, étant relevé qu'il avait pu bénéficier d'une prise en charge de qualité sur le plan de son addiction et qu'il était sur le point de se réinsérer lorsqu'il a rechuté, sans que lui-même ne soit en mesure d'expliquer quels ont été les motifs l'ayant conduit à replonger dans ses travers. Sa collaboration a été dans l'ensemble plutôt bonne, même s'il a persisté à contester le vol des CHF 100.- et n'a remboursé aucun montant à A______. Il s'est excusé auprès des victimes et son attitude en milieu carcéral témoigne d'une certaine volonté d'avancer et de se reprendre en charge sur le plan de sa toxicomanie. Il a de nombreux antécédents récents et pour des faits de même typicité. Malgré de précédentes condamnations à des peines privatives de liberté fermes et l'octroi d'une libération conditionnelle, avec délai d'épreuve et assistance de probation, il a récidivé, étant précisé que son interpellation du 13 juin 2019, respectivement sa détention avant jugement avant de bénéficier de mesures de substitution dès novembre 2019 ne l'ont en rien freiné dans ses activités criminelles. Le constat est clair : il n'a tiré aucun enseignement des sanctions passées, de sorte que seule une nouvelle peine privative de liberté ferme entre en considération pour le détourner de commettre de nouvelles infractions. Pour fixer la peine partiellement complémentaire qui doit être prononcée, il y a lieu de prendre en compte, comme premier groupe d'infractions, celle antérieure à la condamnation du 11 décembre 2018 du chef d'abus de confiance, soit l'utilisation frauduleuse d'un ordinateur (art. 147 al. 1 CP) commise le 3 octobre 2018 au détriment de A______. Cette dernière infraction est abstraitement d'égale gravité avec celle de décembre 2018. Si l'infraction à l'art. 147 al. 1 CP avait été seule réprimée, elle aurait suscité une peine privative de liberté de l'ordre de six mois. En application du principe d'aggravation, il convient d'arrêter la peine complémentaire – conformément au calcul des premiers juges – à quatre mois de peine privative de liberté. Une deuxième peine complémentaire doit être fixée pour les vols, tentatives de vol, dommages à la propriété, violation de domicile et infractions à la LEI commis entre le 17 mai 2019 et le 16 juin 2020 au détriment de très nombreux plaignants s'agissant des cambriolages par effraction en cause. Les infractions les plus graves sont celles de vol, commises en concours, soit des infractions de même gravité – abstraitement parlant – que celle réprimée le 13 janvier 2021 (peine privative de liberté de 80 jours pour une occurrence au casier judiciaire). Ces dernières justifieraient – au vu de la récidive et du concours – une peine privative de liberté de l'ordre de dix à douze mois, comprenant les tentatives de vol, peine qui devrait être alourdie, en application du principe de l'aggravation, d'une peine de trois mois (peine hypothétique : six mois) pour sanctionner les dommages à la propriété et d'une peine identique pour les violations de domicile en rapport avec ces cambriolages, outre une peine de deux mois (peine hypothétique : trois mois) pour les infractions à la LEI, soit, au total, une peine privative de liberté de l'ordre de 18 à 20 mois. Dès lors, s'agissant d'une peine additionnelle, celle-ci sera arrêtée à 16 mois. Avec la précision que la peine arrêtée par les premiers juges apparaît trop clémente, la CPAR arrêtera la peine additionnelle – partiellement complémentaire à celle infligée le 11 décembre 2018 et complémentaire à celle du 13 janvier 2021 – à 20 mois de peine privative de liberté au total, celle-ci correspondant à la faute du prévenu et étant conforme à l'effet qui en sera attendu sur son avenir. La détention avant jugement ainsi que les mesures de substitution à hauteur de 10% seront imputées sur cette peine, le calcul opéré par les premiers juges n'étant pas critiquable, outre que cette imputation n'a pas fait l'objet d'un grief d'appel autonome. La contravention à la LStup ainsi que le vol d'importance mineure seront sanctionnés par l'amende, celle-ci étant complémentaire à celle infligée le 11 décembre 2018. Sous réserve de ce qui précède, le montant fixé par les premiers juges pour la première contravention, soit CHF 400.-, apparaît comme correct, au vu de la persistance de l'appelant dans sa consommation illicite de stupéfiants ainsi que de la période pénale en cause. Quant à la seconde contravention, elle mériterait, compte tenu des circonstances, singulièrement de la faute, d'être fixée à un montant de CHF 400.-. Les chefs sanctionnés par l'amende en 2018 sont abstraitement les plus graves, appréciant ici la lésion relative à l'intégrité corporelle. Il convient, dès lors, d'augmenter la peine de base de CHF 1'500.- dans une juste mesure au regard des faits nouveaux et d'arrêter l'amende complémentaire à CHF 600.-.</w:t>
      </w:r>
    </w:p>
    <w:p>
      <w:r>
        <w:rPr>
          <w:b/>
        </w:rPr>
        <w:t>E. 4</w:t>
      </w:r>
    </w:p>
    <w:p>
      <w:r>
        <w:t>4.1. Selon l'art. 66a al. 1 let. d CP, le juge expulse de Suisse l'étranger qui est condamné pour vol en lien avec une violation de domicile, quelle que soit la quotité de la peine prononcée à son encontre, pour une durée de cinq à quinze ans. Selon l'art. 66a al. 2 CP, le juge peut exceptionnellement renoncer à une expulsion. Cette article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6B_965/2018 du 15 novembre 2018 consid. 4.2 ; 6B_724/2018 du 30 octobre 2018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Pour pouvoir bénéficier de la protection de la vie familiale au sens de l'art. 8 CEDH, l'étranger doit non seulement pouvoir justifier d'une relation étroite et effective avec une personne de sa famille, mais il faut aussi que cette dernière possède le droit de résider durablement en Suisse (ATF 135 I 143 consid. 1.3.1 ; arrêt du Tribunal fédéral 6B_1299/2017 du 10 avril 2018 consid. 2.2).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Pour se prévaloir d'un droit au respect de sa vie privée, l'étranger doit établir l'existence de liens sociaux et professionnels spécialement intenses avec la Suisse, notablement supérieurs à ceux qui résultent d'une intégration ordinaire (ATF 134 II 10 consid. 4.3 ; arrêts du Tribunal fédéral 6B_661/2019 du 12 septembre 2019 consid. 3.3.1 et 3.3.2 et référence citée).</w:t>
      </w:r>
    </w:p>
    <w:p>
      <w:r>
        <w:rPr>
          <w:b/>
        </w:rPr>
        <w:t>E. 4.2</w:t>
      </w:r>
    </w:p>
    <w:p>
      <w:r>
        <w:t>En l'espèce, les infractions pour lesquelles l'appelant est condamné fondent une expulsion obligatoire et aucun motif d'exception de l'art. 66a al. 2 CP n'entre en considération. Il existe, à l'évidence, un intérêt public important à l'expulsion de l'appelant. Son comportement démontre un manque flagrant de respect de l'ordre juridique suisse, sur le long cours, au vu de ses nombreux antécédents. Son expulsion serait dès lors propre à l'empêcher de commettre de nouvelles infractions en Suisse. L'intérêt de l'appelant à ne pas être expulsé est quant à lui très relatif. Ses enfants, issus de relations différentes, vivent certes en Suisse, mais ces derniers ne sont pas à sa charge, celle-ci étant assurée au quotidien par leurs mères. Il ne ressort par ailleurs pas du dossier qu'il entretiendrait des liens particulièrement étroits avec tous ses enfants. En cas d'expulsion en France, il pourrait aisément maintenir un lien avec ses ceux-ci par le biais des moyens de communication modernes, alors que ses enfants pourraient aussi se déplacer pour le voir. Hormis sa progéniture, l'appelant n'a pas d'attaches avec la Suisse et ne s'y est pas bien intégré malgré la durée de son séjour. Il n'a développé jusqu'à présent aucune sorte d'enracinement en Suisse qu'il soit social ou professionnel. Il n'est pas plus avéré que son renvoi dans son pays serait de nature à l'exposer à une situation personnelle grave. Surtout, son intérêt à rester en Suisse n'apparaît pas supérieur à celui de la collectivité à le renvoyer. Au vu de ces nombreux antécédents, de la gravité de ses actes et du caractère prépondérant de l'intérêt public, la durée de l'expulsion obligatoire retenue par les premiers juges est adéquate et proportionnée, de sorte que l'expulsion de D______ prononcée pour une durée de sept ans sera confirmée. Il n'y a pas lieu d'étendre la mesure d'expulsion prononcée à l'ensemble de l'espace Schengen, le prévenu étant ressortissant d'un Etat membre.</w:t>
      </w:r>
    </w:p>
    <w:p>
      <w:r>
        <w:rPr>
          <w:b/>
        </w:rPr>
        <w:t>E. 5</w:t>
      </w:r>
    </w:p>
    <w:p>
      <w:r>
        <w:t>Les motifs ayant conduit les premiers juges à prononcer, par ordonnance séparée, le maintien du prévenu en détention pour des motifs de sûreté sont toujours d'actualité, ce que celui-ci ne conteste au demeurant pas, de sorte que la mesure sera reconduite mutatis mutandis (ATF 139 IV 277 consid. 2.2 à 2.3).</w:t>
      </w:r>
    </w:p>
    <w:p>
      <w:r>
        <w:rPr>
          <w:b/>
        </w:rPr>
        <w:t>E. 6.1</w:t>
      </w:r>
    </w:p>
    <w:p>
      <w:r>
        <w:t>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w:t>
      </w:r>
    </w:p>
    <w:p>
      <w:r>
        <w:rPr>
          <w:b/>
        </w:rPr>
        <w:t>E. 6.2</w:t>
      </w:r>
    </w:p>
    <w:p>
      <w:r>
        <w:t>En l'espèce, D______ sera astreint à réparer le dommage économique de A______ à hauteur de ses prétentions et à lui rembourser, en conséquence, la somme de CHF 1'870.-, (soit CHF 1'900.- CHF 30.-), avec intérêts à 5% dès le 9 décembre 2020. Vu l'issue de l'appel sur les autres chefs d'accusation concernant A______, ses conclusions en réparation de son tort moral seront rejetées.</w:t>
      </w:r>
    </w:p>
    <w:p>
      <w:r>
        <w:rPr>
          <w:b/>
        </w:rPr>
        <w:t>E. 7.1</w:t>
      </w:r>
    </w:p>
    <w:p>
      <w:r>
        <w:t>Selon l'art. 428 al. 1 CPP, les frais de la procédure de recours, respectivement d'appel, sont mis à la charge des parties dans la mesure où elles ont obtenu gain de cause ou succombé. Pour déterminer si une partie succombe ou obtient gain de cause, il faut examiner dans quelle mesure ses conclusions sont admises en deuxième instance (arrêts 6B_636/2017 du 1 er septembre 2017 consid. 4.1 ; 6B_620/2016 du 17 mai 2017 consid. 2.1.2 et les arrêts cités). Lorsqu'une partie obtient gain de cause sur un point, succombe sur un autre, le montant des frais à mettre à sa charge dépend de manière déterminante du travail nécessaire à trancher chaque point (arrêts du Tribunal fédéral 6B_636/2017 précité consid. 4.1 ; 6B_620/2016 précité consid. 2.1.2 et les arrêts cités).</w:t>
      </w:r>
    </w:p>
    <w:p>
      <w:r>
        <w:rPr>
          <w:b/>
        </w:rPr>
        <w:t>E. 7.2</w:t>
      </w:r>
    </w:p>
    <w:p>
      <w:r>
        <w:t>D______, qui succombe, supportera 20% des frais d'appel (art. 428 CPP), étant précisé que si la CPAR n'avait été amenée à statuer que sur les mérites de son recours, celui-ci n'aurait pas suscité la revue d'une large partie des faits discutés à l'aune du verdict des premiers juges. A______, appelante également, obtient très partiellement gain de cause. Elle devrait supporter 40% des frais d'appel. En effet, à l'instar du MP, le traitement de son appel a entraîné la revue en fait et en droit de la majeure partie du verdict de première instance. Cela étant, ayant été mise au bénéfice de l'assistance judiciaire, elle en sera exonérée (cf. art. 136 al. 2 let. b CPP). Le solde des frais sera ainsi laissé à la charge de l'Etat. Il n'y a pas lieu de revenir sur les frais de première instance, l'imputation de ceux-ci à hauteur de leur moitié à D______ correspondant à sa culpabilité.</w:t>
      </w:r>
    </w:p>
    <w:p>
      <w:r>
        <w:rPr>
          <w:b/>
        </w:rPr>
        <w:t>E. 8</w:t>
      </w:r>
    </w:p>
    <w:p>
      <w:r>
        <w:t>8.1.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à tout le moins partiellement (L. MOREILLON / A. PAREIN-REYMOND, Petit commentaire, Code de procédure pénale , 2 ème éd., N 5 ad art. 433). La juste indemnité, notion qui laisse un large pouvoir d'appréciation au juge, couvre les dépenses et les frais nécessaires pour faire valoir le point de vue de la partie plaignante, à l'exclusion de toutes démarches inutiles ou superflues (C. MIZEL / V. RETORNAZ, CR-CPP, N 8 ad art. 433). Cette indemnité de procédure ne porte pas intérêts (ATF 143 IV 495 ).</w:t>
      </w:r>
    </w:p>
    <w:p>
      <w:r>
        <w:rPr>
          <w:b/>
        </w:rPr>
        <w:t>E. 8.2</w:t>
      </w:r>
    </w:p>
    <w:p>
      <w:r>
        <w:t>A______ a partiellement obtenu gain de cause en première instance et n'a pas critiqué en tant que telle l'indemnité qui lui avait alors été octroyée à hauteur de 15% de la note d'honoraires produite de son conseil. Elle conclut à nouveau, en appel, à être indemnisée en plein, faisant valoir l'intégralité de ses frais d'avocat. Dans la mesure où elle succombe pour la quasi majorité des griefs soulevés, n'obtenant une modification du jugement de première instance sur un point mineur (cf. art. 428 al. 2 let. b CPP), s'agissant d'une contravention, il n'y a pas lieu à statuer à nouveau sur la quotité de l'indemnisation reçue. On observera, d'une part, qu'il n'y a pas eu de travail particulier en rapport avec ce vol de peu d'importance, pris dans la trame des faits du 3 octobre 2018, d'autre part, qu'elle n'a pas pris de conclusion expresse en remboursement de ce dommage au cas où la culpabilité de D______ était reconnue de ce chef. Le précité sera donc condamné à lui payer la somme de CHF 3'495.60 à titre de juste indemnité pour les dépenses obligatoires occasionnées par la procédure de première instance, la plaignante plaidant en appel au bénéfice d'un conseil juridique gratuit (cf. consid. 9 ci-après).</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9.1.2.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L'art. 138 CPP règle l'indemnisation et la prise en charge des frais relatifs à l'assistance gratuite en faveur de la partie plaignante. Son al. 1 prévoit que l'art. 135 CPP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Ainsi, tant la partie plaignante que le prévenu peuvent être tenus de rembourser les frais d'une défense d'office (art. 135 al. 4 CPP).</w:t>
      </w:r>
    </w:p>
    <w:p>
      <w:r>
        <w:rPr>
          <w:b/>
        </w:rPr>
        <w:t>E. 9.2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A teneur de l'art. 135 al. 1 CPP, le défenseur d'office est indemnisé conformément au tarif des avocats de la Confédération ou du canton du for du procès. A Genève, l'art. 16 al. 1 let. a à c du règlement sur l'assistance juridique (RAJ) prévoit une indemnisation sur la base d'un tarif horaire de CHF 200.- pour un chef d'étude.</w:t>
      </w:r>
    </w:p>
    <w:p>
      <w:r>
        <w:rPr>
          <w:b/>
        </w:rPr>
        <w:t>E. 9.3</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l'annonce d'appel et la déclaration d'appel, sous réserve d'exceptions possibles pour des documents particulièrement volumineux ou nécessitant un examen poussé, charge à l'avocat de justifier l'ampleur des opérations dont la couverture ne serait pas assurée par le forfait ( AARP/184/2016 du 28 avril 2016 consid. 5.2.3.2 et 5.3.1 ; AARP/149/2016 du 20 avril 2016 consid. 5.3 et 5.4 ; ordonnance de la Cour des plaintes du Tribunal pénal fédéral BB.2014.51 du 21 novembre 2014 consid. 2.1 ; AARP/181/2017 du 30 mai 2017 consid. 8.2.3 ; AARP/187/2017 du 18 mai 2017 consid. 7.2).</w:t>
      </w:r>
    </w:p>
    <w:p>
      <w:r>
        <w:rPr>
          <w:b/>
        </w:rPr>
        <w:t>E. 9.4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9.5</w:t>
      </w:r>
    </w:p>
    <w:p>
      <w:r>
        <w:t>En l'occurrence, l'état de frais présenté par M e C______ sera réduit d'une heure, la rédaction de la déclaration d'appel et la lecture des déclarations d'appel étant couvertes par le forfait. La préparation de l'audience devant la Cour d'appel sera ramenée à six heures et 30 minutes, ce temps étant estimé comme suffisant pour un dossier que l'avocat a suivi depuis le début de la procédure. Il convient de le compléter du temps relatif aux débats d'appel ainsi que de la vacation y relative. En conclusion, la rémunération sera arrêtée à CHF 3'760.60 correspondant à 15 heures et 25 minutes d'activité au tarif de CHF 200.-/heure plus la majoration forfaitaire de 10% (CHF 308.35), une vacation (CHF 100.-) et l'équivalent de la TVA au taux de 7.7% en CHF 268.90.</w:t>
      </w:r>
    </w:p>
    <w:p>
      <w:r>
        <w:rPr>
          <w:b/>
        </w:rPr>
        <w:t>E. 9.6</w:t>
      </w:r>
    </w:p>
    <w:p>
      <w:r>
        <w:t>En l'occurrence, l'état de frais présenté par M e F______ sera réduit de 90 minutes, la rédaction du mémoire d'appel écrit étant couverte par le forfait. La préparation de l'audience devant la Cour d'appel ainsi que la lecture du dossier seront ramenés à cinq heures et 40 minutes, ce temps étant estimé comme suffisant pour un dossier bien connu de l'avocat et vu le champ restreint de l'appel. Il convient de le compléter du temps relatif aux débats d'appel ainsi que de la vacation y relative. En conclusion, la rémunération sera arrêtée à CHF 4'747.85 correspondant à 19 heures et 35 minutes d'activité au tarif de CHF 200.-/heure plus la majoration forfaitaire de 10% (CHF 391.70), une vacation (CHF 100.-) et l'équivalent de la TVA au taux de 7.7% en CHF 339.45.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