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P/948/2014 vom 6. Juni 2016</w:t>
      </w:r>
    </w:p>
    <w:p>
      <w:r>
        <w:t>GE Cour de justice, 2016-06-06, FR</w:t>
      </w:r>
    </w:p>
    <w:p>
      <w:r>
        <w:rPr>
          <w:b/>
        </w:rPr>
        <w:t xml:space="preserve">Quelle: </w:t>
      </w:r>
      <w:r>
        <w:t>https://mcp.opencaselaw.ch/entscheid/ge_gerichte_P_948_2014</w:t>
      </w:r>
    </w:p>
    <w:p>
      <w:r>
        <w:t>FR: GE_GERICHTE P/948/2014 du 6 juin 2016</w:t>
      </w:r>
    </w:p>
    <w:p>
      <w:r>
        <w:t>IT: GE_GERICHTE P/948/2014 del 6 giugno 2016</w:t>
      </w:r>
    </w:p>
    <w:p>
      <w:pPr>
        <w:pStyle w:val="Heading2"/>
      </w:pPr>
      <w:r>
        <w:t>Regeste</w:t>
      </w:r>
    </w:p>
    <w:p>
      <w:r>
        <w:t>DIRECTIVE 2008/115/CE ; IN DUBIO PRO REO ; PRÉSOMPTION D'INNOCENCE ; ASSIGNATION À RÉSIDENCE ; DISPOSITIONS PÉNALES DE LA LETR ; LOI FÉDÉRALE SUR LES ÉTRANGERS ; FIXATION DE LA PEINE ; PEINE ; EXEMPTION DE PEINE ; IMPUTATION ; DÉTENTION(INCARCÉRATION) | CEDH6.2; LEtr115.1.b; LEtr119.1; LEtr119.2; CP47.1; CP52; CP51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rPr>
          <w:b/>
        </w:rPr>
        <w:t>E. 3</w:t>
      </w:r>
    </w:p>
    <w:p>
      <w:r>
        <w:t>3.1.1 A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Par arrêté fédéral du 18 juin 2010 (RO 2010 5925), la Suisse a repris la Directive sur le retour.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w:t>
      </w:r>
    </w:p>
    <w:p>
      <w:r>
        <w:rPr>
          <w:b/>
        </w:rPr>
        <w:t>E. 3.2</w:t>
      </w:r>
    </w:p>
    <w:p>
      <w:r>
        <w:t>En l'espèce, l'appelant admet avoir séjourné en Suisse durant la période pénale, soit à tout le moins entre les 1 er août 2013 et 17 janvier 2014 puis entre les 19 janvier et 24 février 2014, sans être au bénéfice des autorisations nécessaires et en étant démuni de papiers d'identité. Il faisait de surcroît l'objet d'une décision de renvoi exécutoire. Le dossier ne contient aucune information relative aux éventuelles démarches entreprises par les autorités argoviennes en vue de l'établissement de l'origine de l'appelant. Certes, l'appelant fait référence à une démarche qu'il aurait exécutée à leur requête, mais sans que cet élément ne soit étayé. Vrai est que l'appelant n'a pas brillé par sa volonté de collaborer à son retour au pays qu'il a longtemps refusé. Mais force est aussi de constater que le soutien à son retour au Mali, voire en Guinée, a été abandonné à compter du 8 octobre 2013, sans que le rapport SYMIC ne fournisse quelque motif à l'appui de cette décision. Même si les informations y figurant sont d'une lecture et d'une compréhension difficiles, elles ne permettent notamment pas de savoir quelles démarches auraient été entreprises par l'autorité administrative aux fins d'exécuter le renvoi de l'étranger se trouvant en situation irrégulière en Suisse. On peut en inférer que l'appelant a dès lors vécu en Suisse sans que les autorités administratives n'exercent quelque pression sur lui pour favoriser son retour au pays. L'appelant ne s'est pas soustrait à des mesures de refoulement, ne serait-ce que parce que celles-ci ont été de facto inexistantes. Les allers et retours de l'appelant entre les cantons de Genève et d'Argovie n'empêchaient pas que des démarches soient initiées, par exemple lors des interpellations de 2014 qui se sont soldées le lendemain par la libération de l'appelant. Une réactivation des démarches en vue de son refoulement, voire une mise en détention administrative pour le garantir via sa remise en mains aux autorités argoviennes compétentes étaient envisageables. Encore plus significatif est la longue période d'incarcération subie par l'appelant en 2012 et 2013, notamment pour violation de la LEtr, qui s'est terminée sans que des mesures en vue de sa détention administrative ne soient prises. Les doutes sur l'origine de l'appelant ne sont pas une excuse. Partir de cette prémisse pour laisser entendre que les démarches en vue du refoulement n'auraient en tout état eu aucune chance de succès est une manière peu heureuse de détourner l'écueil de l'absence de démarches. Au vu de ce qui précède, on ne saurait admettre que les autorités administratives ont entrepris toutes les mesures raisonnables pour l'exécution de la décision de renvoi et que la procédure de retour a échoué en raison du comportement de l'appelant, même si celui-ci n'a pas manifesté un enthousiasme débordant à l'idée de quitter la Suisse. Partant, en application de la Directive sur le retour et de la jurisprudence du Tribunal fédéral, il convient de l'acquitter du chef de séjour illégal. Le jugement entrepris sera dans cette mesure annulé.</w:t>
      </w:r>
    </w:p>
    <w:p>
      <w:r>
        <w:rPr>
          <w:b/>
        </w:rPr>
        <w:t>E. 3.3</w:t>
      </w:r>
    </w:p>
    <w:p>
      <w:r>
        <w:t>Après une période d'atermoiements, l'appelant ne conteste plus être coupable d'une violation de l'art. 119 al. 1 LEtr. Comme les conditions en sont réalisées, le verdict du premier juge sera confirmé sur ce point. 4. 4.1.1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4.1.2 D'après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arrêt du Tribunal fédéral 6B_1249/2014 du 7 septembre 2015 consid. 1.2). 4.2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4.3 Aucune mise en détention administrative n'a été imposée à l'appelant, de sorte que celui-ci ne peut se prévaloir de l'art. 119 al. 2 LEtr, en plus du fait que cette disposition légale use d'une formule potestative qui laisse une marge de manœuvre au juge du fond. L'appelant ne peut s'appuyer sur l'arrêt AARP/73/2016 du 25 février 2016 pour solliciter une exemption de toute peine que l'art. 119 al. 2 LEtr exclut. Les violations répétées de l'assignation à résidence en Argovie font que la culpabilité ne saurait être qualifiée d'anodine. C'est sans compter que l'arrêt susmentionné n'est pas exécutoire, de sorte qu'il n'a pas vocation à faire jurisprudence. Il y a en tout état lieu d'attendre le verdict du Tribunal fédéral sur recours du Ministère public pour déterminer la valeur qu'il convient de donner à la décision citée. Aussi ne se justifie-t-il pas d’exempter l’appelant de toute sanction, sous peine de vider l’art. 119 al. 1 LEtr de son sens. Compte tenu des antécédents et de la situation personnelle de l'appelant, l'infraction pourrait être sanctionnée par le prononcé d'une courte peine privative de liberté. Toutefois, vu la primauté de la peine pécuniaire voulue par le législateur, il se justifie de limiter la sanction à un genre de peine moins coercitif. La quotité sera fixée à 15 jours de peine-amende pour tenir compte de l'ensemble des circonstances, notamment des violations répétées de la mesure prise à l'encontre de l'appelant par les autorités argoviennes. Sa situation financière étant inconnue mais assurément précaire, le jour-amende sera fixé au minimum légal de CHF 10.-. 5. 5.1.1 Aux termes de l'art. 429 al. 1 CPP, le prévenu a un droit à une indemnisation et à la réparation de son tort moral s'il est acquitté totalement ou en partie ou s'il bénéficie d'une ordonnance de classement. L'autorité pénale compétente pour liquider l'indemnisation est celle qui a prononcé l'abandon de la poursuite pénale (A. KUHN / Y. JEANNERET (éds), Commentaire romand : Code de procédure pénale suisse , Bâle 2011, n. 51 ad art. 429 ; G. PIQUEREZ / A. MACALUSO, Procédure pénale suisse , Genève 2011, n. 2286 p. 729 ; ACPR/362/2011 du 7 décembre 2011). La question de l'indemnisation d'une détention injustifiée ne se pose (…) que si une imputation suffisante de cette détention sur une autre sanction au sens de l'art. 51 du code pénal, du 21 décembre 1937 (CP ; RS 311.0), n'est plus possible ; l'indemnisation financière est ainsi subsidiaire à l'imputation (ATF 141 IV 236 , consid. 3.3 et les références cité in l'arrêt du Tribunal fédéral 6B_431/2015 du 24 mars 2016, consid. 2.2). Selon l'art. 51 CP, le juge impute sur la peine la détention avant jugement subie par l'auteur dans le cadre de l'affaire qui vient d'être jugée ou d'une autre procédure. Un jour de détention correspond à un jour-amende ou à quatre heures de travail d'intérêt général. 5 .1.2 L'appelant a subi sept jours de détention avant jugement et il bénéficie d'un acquittement partiel, ce qui conduit la CPAR à traiter ses conclusions en indemnisation prises dans son mémoire d'appel. L'appelant n'a pas un droit absolu à une indemnisation financière. Les sept jours de détention avant jugement subie en trop seront ainsi imputés sur la présente peine pécuniaire, ainsi que le préconise la jurisprudence en application de l'art. 51 CP. Vu la solution retenue, il n'y a pas matière à versement d'intérêts moratoires. 5.2.1 L'indemnité concerne les dépenses du prévenu pour un avocat de choix (ATF 138 IV 205 consid. 1). Elle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(arrêt du Tribunal fédéral 6B_129/2016 du 2 mai 2016 consid. 2.2 et les références citées). 5.2.2 Le recours à un avocat est compréhensible, la culpabilité en matière de LEtr répondant à des critères juridiques assez complexes. M e B______ a conclu, pour le compte de son mandant, au versement d'un montant de CHF 648.- au titre de ses frais et honoraires. Cette conclusion, même s'il eût été souhaitable qu'elle fût documentée, n'est à l'évidence pas excessive, dans la mesure où elle correspond prima facie à deux heures d'activité, à raison de CHF 300.- l'heure, pour la procédure d'appel, TVA en sus. La couverture des frais et honoraires s'entend sans intérêts auxquels le Conseil n'a pas conclu. L'appelant ayant succombé pour partie, la moitié des frais d'honoraires sera laissée à sa charge, de sorte qu'une indemnité de CHF 324.- lui sera allouée.</w:t>
      </w:r>
    </w:p>
    <w:p>
      <w:r>
        <w:rPr>
          <w:b/>
        </w:rPr>
        <w:t>E. 6</w:t>
      </w:r>
    </w:p>
    <w:p>
      <w:r>
        <w:t>L'appelant obtenant partiellement gain de cause, la moitié des frais de la procédure seront laissés à la charge de l'État (art. 428 CPP). En application de l'art. 428 al. 3 CPP, le jugement de première instance sera réformé dans le sens où les frais de la procédure, y compris l'émolument complémentaire, seront laissés à la charge de l'Etat à raison de la moitié.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