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P/9484/2022 vom 29. Juli 2024</w:t>
      </w:r>
    </w:p>
    <w:p>
      <w:r>
        <w:t>GE Cour de justice, 2024-07-29, FR</w:t>
      </w:r>
    </w:p>
    <w:p>
      <w:r>
        <w:rPr>
          <w:b/>
        </w:rPr>
        <w:t xml:space="preserve">Quelle: </w:t>
      </w:r>
      <w:r>
        <w:t>https://mcp.opencaselaw.ch/entscheid/ge_gerichte_P_9484_2022</w:t>
      </w:r>
    </w:p>
    <w:p>
      <w:r>
        <w:t>FR: GE_GERICHTE P/9484/2022 du 29 juillet 2024</w:t>
      </w:r>
    </w:p>
    <w:p>
      <w:r>
        <w:t>IT: GE_GERICHTE P/9484/2022 del 29 luglio 2024</w:t>
      </w:r>
    </w:p>
    <w:p>
      <w:pPr>
        <w:pStyle w:val="Heading2"/>
      </w:pPr>
      <w:r>
        <w:t>Regeste</w:t>
      </w:r>
    </w:p>
    <w:p>
      <w:r>
        <w:t>LÉSION CORPORELLE SIMPLE;LÉSION CORPORELLE PAR NÉGLIGENCE;ACCIDENT DE LA CIRCULATION;PRINCIPE DE L'ACCUSATION | CP.125.al1; LCR; CPP.9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du 4 novembre 1950 (CEDH) et par les art. 32 al. 1 de la Constitution fédérale de la Confédération suisse du 18 avril 1999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w:t>
      </w:r>
    </w:p>
    <w:p>
      <w:r>
        <w:rPr>
          <w:b/>
        </w:rPr>
        <w:t>E. 2.3</w:t>
      </w:r>
    </w:p>
    <w:p>
      <w:r>
        <w:t>L'art. 125 CP réprime le comportement de quiconque,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2.3.1</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133 IV 158 consid. 5.1). 2.3.2.1. S'agissant d'un accident de la route, il convient de se référer aux règles de la circulation routière (arrêt du Tribunal fédéral 6B_69/2017 du 28 novembre 2017 consid. 2.1), étant précisé que la violation de règles de la circulation routière au sens de l'art. 90 al. 1 LCR est absorbée par l'art. 125 CP, en l'absence de mise en danger d'autres personnes que le blessé (arrêt du Tribunal fédéral 6B_291/2015 du 18 janvier 2016 consid. 3.2 ; M. DUPUIS / L. MOREILLON / C. PIGUET / S. BERGER / M. MAZOU / V. RODIGARI [éds.], Petit commentaire, Code pénal, 2ème éd., 2017 Bâle, n. 14 ad art. 125). 2.3.2.2. L'art. 26 al. 1 LCR prescrit que chacun doit se comporter, dans la circulation, de manière à ne pas gêner ni mettre en danger ceux qui utilisent la route conformément aux règles établies. Ainsi, selon le principe de la confiance qui en découle, tout usager de la route qui se comporte conformément aux règles établies, doit pouvoir, dans la mesure où aucune circonstance particulière ne s'y oppose, admettre que les autres participants à la circulation routière se conduiront également de façon conforme aux règles (ATF 143 IV 138 consid. 2.1). Le conducteur qui veut modifier sa direction de marche, par exemple pour dépasser, est tenu d'avoir égard aux usagers de la route qui viennent en sens inverse ainsi qu'au véhicule qui le suivent (art. 34 al. 3 LCR). Le principe de la confiance est déduit de l'art. 26 al. 1 LCR qui prévoit que chacun doit se comporter, dans la circulation, de manière à ne pas gêner ni mettre en danger ceux qui utilisent la route conformément aux règles établies (ATF 120 IV 252 consid.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 118 IV 277 consid. 4a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 120 IV 252 consid. 2d/aa ; 143 IV 500 consid. 1.2.4).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 arrêt du Tribunal fédéral 6B_959/2016 du 6 juillet 2017 consid. 2.2). Constitue un comportement imprévisible le fait d'accélérer brusquement pour forcer le passage, de surgir de façon inopinée à une vitesse largement excessive ou de freiner vigoureusement tout à coup sans raison (ATF 125 IV 83 consid. 2c ; arrêts du Tribunal fédéral 6B_959/2016 du 6 juillet 2017 consid. 2.2 ; 4A_239/2011 du 22 novembre 2011 consid. 2.4.1 = JdT 2011 I 321). Dans l'optique d'une règle de priorité claire, on ne peut toutefois admettre facilement que le débiteur de la priorité n'a pas à compter avec le passage, respectivement l'entrave d'un prioritaire (ATF 143 IV 500 consid. 1.2.4 ; ATF 120 IV 252 consid. 2d/aa ; arrêts du Tribunal fédéral 6B_631/2018 du 24 octobre 2018 consid. 1.2 ; 6B_959/2016 du 6 juillet 2017 consid. 2.2). Le débiteur de la priorité ne peut remplir ses obligations envers le prioritaire qu'à condition d'avoir une vue suffisante sur la route prioritaire et cela des deux côtés. Les obligations découlant d'une mauvaise visibilité sont à sa charge (ATF 98 IV 273 consid. 2).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133 consid. 2a ; 143 IV 500 consid. 1.2.2 ; arrêt du Tribunal fédéral 6B_746/2007 du 29 février 2008 = JdT 2008 I 474 consid. 1.1.1).</w:t>
      </w:r>
    </w:p>
    <w:p>
      <w:r>
        <w:rPr>
          <w:b/>
        </w:rPr>
        <w:t>E. 2.3.3</w:t>
      </w:r>
    </w:p>
    <w:p>
      <w:r>
        <w:t>L'atteinte à l'intégrité personnelle doit revêtir la forme de lésions corporelles graves ou simples au sens des articles 122 ou 123 CP.</w:t>
      </w:r>
    </w:p>
    <w:p>
      <w:r>
        <w:rPr>
          <w:b/>
        </w:rPr>
        <w:t>E. 2.3.4</w:t>
      </w:r>
    </w:p>
    <w:p>
      <w:r>
        <w:t>Il faut ensuite qu'il existe un rapport de causalité entre la violation fautive du devoir de prudence et le dommage survenu. La causalité naturelle est établie lorsque l'on peut retenir que le résultat ne se serait vraisemblablement pas produit en l'absence de l'acte considéré.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 arrêt du Tribunal fédéral 6B_69/2017 du 28 novembre 2017 consid. 2.3.2). 2.4.1. En l'espèce, la collision entre l'automobile et le motocycle du 2 mars 2022 a induit la chute de la plaignante et les lésions qu'elle a subies, lesquelles sont documentées et entrent dans le champ d'application de l'art. 125 al. 1 CP, ne sont pas contestées. Il reste à déterminer si une négligence de l'intimé peut être retenue. 2.4.2. Il n'est pas établi que ce dernier a franchi une ligne de sécurité lors de sa manœuvre, ce que l'acte d'accusation ne retient d'ailleurs pas. Il se peut en effet que l'intimé se soit placé, comme allégué, à l'endroit de la chaussée marquée par une ligne discontinue permettant le franchissement de la ligne de sécurité. Il y a ainsi un doute quant à la trajectoire empruntée par l'intéressé, de sorte que la Cour doit retenir la version qui lui est la plus favorable. Il ressort du rapport de police et du courriel du Département de la santé et des mobilités qu'à cet endroit la double-ligne de sécurité est interrompue à deux reprises en enfilade pour permettre aux véhicules de sortir des accès privés uniquement, en franchissant perpendiculairement toutes les voies de circulation. Il appert que, dans cette configuration, l'intimé a dû effectuer une sorte de demi-tour pour accéder au n° 1______ de la route de Malagnou, et non un simple franchissement de ligne discontinue. Il a ainsi procédé à une manœuvre insolite, étant précisé qu'il a admis avoir toujours, par le passé, atteint les lotissements privés impairs par la voie de circulation opposée. Cela étant, la police a retenu en sa faveur l'ambiguïté du marquage et l'absence d'un signal interdisant d'obliquer à gauche placé en amont et le MP n'a pas instruit la manœuvre de l'automobiliste, qui ne figure par conséquent pas dans l'acte d'accusation, lequel lie la Cour de céans. Il convient donc de déterminer si l'intimé a violé de manière fautive son devoir de prudence, soit s'il a pris suffisamment garde à la présence des autres usagers de la route lorsqu'il a obliqué à gauche. À cet égard, les versions des parties s'opposent, chacun arguant avoir roulé à vitesse réduite tout en reprochant à l'autre une vitesse bien plus élevée. Les déclarations du témoin ne permettent pas de les départager dès lors que ses souvenirs sont vagues et qu'il n'a émis qu'une hypothèse. Cela étant, il est établi que la circulation était alors très dense, au point que plusieurs scooters avaient indument emprunté la voie de bus pour dépasser les véhicules, de sorte que l'intimé n'a pu s'engager dans la voie de circulation opposée qu'après s'être vu céder le passage, ce qui l'a nécessairement empêché d'effectuer sa manœuvre à une vitesse élevée. Quant à la deuxième intersection, rien dans le dossier ne permet de déterminer avec certitude la vitesse adoptée au moment de son franchissement, si ce n'est qu'au moment de l'impact, l'appelante n'a pas été projetée. La question de savoir si l'intimé devait s'attendre ou non à ce que la motocycliste ne respectât pas les règles de la circulation routière en empruntant une voie qui ne lui était pas destinée peut souffrir de demeurer ouverte, dès lors qu'il ressort du rapport de police qu'elle s'était en tout état passablement masquée à la vue de l'automobiliste, par son positionnement sur la chaussée en longeant particulièrement à gauche les potelets orange. Ainsi, il se peut que malgré toutes les précautions prises, celui-ci aurait eu dans tous les cas de la peine à l'apercevoir à temps pour l'éviter. Au vu de toutes les incertitudes entourant l'accident, la Cour retiendra, en vertu du principe in dubio pro reo, que l'intimé s'est avancé à tâtons en respectant son devoir de prudence, de sorte que son acquittement sera confirmé. Partant, l'appel sera rejeté et le jugement entrepris confirmé.</w:t>
      </w:r>
    </w:p>
    <w:p>
      <w:r>
        <w:rPr>
          <w:b/>
        </w:rPr>
        <w:t>E. 3</w:t>
      </w:r>
    </w:p>
    <w:p>
      <w:r>
        <w:t>Dans la mesure où l'appelante, qui succombe, est au bénéfice de l'assistance juridique, les frais seront laissés à la charge de l'État. Il n'y a pas lieu de revoir la répartition arrêtée par le premier juge.</w:t>
      </w:r>
    </w:p>
    <w:p>
      <w:r>
        <w:rPr>
          <w:b/>
        </w:rPr>
        <w:t>E. 4</w:t>
      </w:r>
    </w:p>
    <w:p>
      <w:r>
        <w:t>L'appelante sera déboutée de ses conclusions civiles (art. 433 CPP a contrario).</w:t>
      </w:r>
    </w:p>
    <w:p>
      <w:r>
        <w:rPr>
          <w:b/>
        </w:rPr>
        <w:t>E. 5</w:t>
      </w:r>
    </w:p>
    <w:p>
      <w:r>
        <w:t>Il sera fait droit aux prétentions en indemnisation de l'intimé, lesquelles sont justifiées et doivent être complétées de la durée des débats d'appel et de la préparation de l'audience. L'État de Genève sera ainsi condamné à lui verser CHF 3'397.- (TVA comprise) à titre d'indemnité pour les dépenses occasionnées par l'exercice raisonnable de ses droits de procédure au sens de l'art. 429 al. 1 let. a CPP.</w:t>
      </w:r>
    </w:p>
    <w:p>
      <w:r>
        <w:rPr>
          <w:b/>
        </w:rPr>
        <w:t>E. 6</w:t>
      </w:r>
    </w:p>
    <w:p>
      <w:r>
        <w:t>6.1. Selon l'art. 138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6.4</w:t>
      </w:r>
    </w:p>
    <w:p>
      <w:r>
        <w:t>En l'occurrence, doit être retranchée de l'état de frais de M e B______, l'activité déployée avant sa nomination d'office, soit 0h45, laquelle relève de surcroît de tâche de secrétariat couverte par le forfait. Il en ira de même des postes de correspondance et de téléphone (1h20), de la rédaction de la déclaration d'appel qui n'a pas à être motivée (0h35) et des lectures du procès-verbal et du jugement (0h15), aussi couverts par le forfait. Enfin, la vacation de 2h00 est indemnisée conformément à la rémunération forfaitaire sus-rappelée, de sorte qu'elle n'a pas à être facturée en sus, et la durée de l'audience doit être réduite de 1h05. En conclusion, la rémunération sera arrêtée à CHF 956.70, correspondant à 4h30 d'activité au tarif de CHF 150.-/heure (CHF 675.-) plus la majoration forfaitaire de 20% (CHF 135.-), la vacation en CHF 75.- et l'équivalent de la TVA au taux de 8.1% en CHF 71.70.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