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P/9482/2015 vom 1. Juni 2016</w:t>
      </w:r>
    </w:p>
    <w:p>
      <w:r>
        <w:t>GE Cour de justice, 2016-06-01, FR</w:t>
      </w:r>
    </w:p>
    <w:p>
      <w:r>
        <w:rPr>
          <w:b/>
        </w:rPr>
        <w:t xml:space="preserve">Quelle: </w:t>
      </w:r>
      <w:r>
        <w:t>https://mcp.opencaselaw.ch/entscheid/ge_gerichte_P_9482_2015</w:t>
      </w:r>
    </w:p>
    <w:p>
      <w:r>
        <w:t>FR: GE_GERICHTE P/9482/2015 du 1 juin 2016</w:t>
      </w:r>
    </w:p>
    <w:p>
      <w:r>
        <w:t>IT: GE_GERICHTE P/9482/2015 del 1 giugno 2016</w:t>
      </w:r>
    </w:p>
    <w:p>
      <w:pPr>
        <w:pStyle w:val="Heading2"/>
      </w:pPr>
      <w:r>
        <w:t>Regeste</w:t>
      </w:r>
    </w:p>
    <w:p>
      <w:r>
        <w:t>BRIGANDAGE; AFFILIATION À UNE BANDE; ENLÈVEMENT(INFRACTION); COAUTEUR(DROIT PÉNAL); COMPLICITÉ; APPRÉCIATION DES PREUVES; FIXATION DE LA PEINE; AGGRAVATION DE LA PEINE; SURSIS PARTIEL À L'EXÉCUTION DE LA PEINE | CP.140.1; CP.140.3; CP.183.1; CP.22; CP.25</w:t>
      </w:r>
    </w:p>
    <w:p>
      <w:pPr>
        <w:pStyle w:val="Heading2"/>
      </w:pPr>
      <w:r>
        <w:t>Erwägungen</w:t>
      </w:r>
    </w:p>
    <w:p>
      <w:r>
        <w:rPr>
          <w:b/>
        </w:rPr>
        <w:t>E. 1.1</w:t>
      </w:r>
    </w:p>
    <w:p>
      <w:r>
        <w:t>L'appel et l'appel joints sont recevables pour avoir été interjetés et motivés selon la forme et dans les délais prescrits (art. 398, 399 et 400 al. 3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 arrêt du Tribunal fédéral 6B_637/2012 du 21 janvier 2013 consid. 5.4). 2.2.1.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2.2.2.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p. 51-52 ; 121 IV 109 consid. 3a p. 119-120 ; arrêt du Tribunal fédéral 6B_72/2009 du 20 mai 2009 consid. 2.1.).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2.3.1. À teneur de l'art. 140 ch. 1 CP, se rend coupable de brigandage celui qui aura commis un vol en usant de violence à l'égard d'une personne, en la menaçant d'un danger imminent pour la vie ou l'intégrité corporelle ou en la mettant hors d'état de résister. Le brigandage est une forme aggravée du vol qui se caractérise par les moyens que l'auteur a employés (ATF 133 IV 207 consid. 4.2 p. 210 ; ATF 124 IV 102 consid. 2 p. 104). Comme dans le cas du vol, l'auteur soustrait la chose, c'est-à-dire qu'il en prend la maîtrise sans le consentement de celui qui l'avait précédemment. À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Il importe peu que la victime ait été mise dans l'incapacité de se défendre ; il suffit que l'auteur ait recouru aux moyens indiqués et que le vol ait été consommé (ATF 133 IV 207 consid. 4.3.1 p. 211 ; arrêt du Tribunal fédéral 6B_356/2012 du 1 er octobre 2012 consid. 1.2.1). Il convient d'établir le rapport de cause à effet entre la violence, la mise hors d'état de résister et le vol (ATF 107 IV 107 consid. 3c p. 109 s.). L'art. 140 CP institue une gradation dans la gravité du brigandage, qui est plus sévèrement réprimé si son auteur a agi en qualité d'affilié à une bande formée pour commettre des brigandages ou des vols (art. 140 ch. 3 CP). L'affiliation à une bande est réalisée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(ATF 135 IV 158 consid. 2 ; arrêt du Tribunal fédéral 6B_1047/2008 du 20 mars 2009 consid. 4.1). Cette association renforce physiquement et psychiquement chacun des membres, de sorte qu'elle les rend particulièrement dangereux et laisse prévoir la commission d'autres infractions de ce type (ATF 135 IV 158 précité ; ATF 124 IV 286 consid. 2a ; ATF 124 IV 86 consid. 2b). Du point de vue subjectif, il suffit que l'auteur connaisse et veuille les circonstances de fait qui correspondent à la définition de la bande ou, en d'autres termes, que sa volonté ait porté sur la commission en commun d'une pluralité d'infractions (ATF 132 IV 132 consid. 5.2 ; ATF 124 IV 286 consid. 2a ; ATF 124 IV 86 consid. 2b). Cette qualification suppose un minimum d'organisation (par exemple une répartition des tâches ou des rôles) et que la coopération des intéressés soit suffisamment intense pour que l'on puisse parler d'un groupe stable même s'il n'est qu'éphémère (ATF 132 IV 132 consid. 5.2 ; arrêt du Tribunal fédéral 6B_1047/2008 du 23 mars 2009 consid. 4.1).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Les infractions en droit suisse , vol. I, 3 e éd., Berne 2010, n. 1 à 11 ad art. 140 CP). 2.3.2. Selon l'art. 22 CP, le juge peut atténuer la peine si l'exécution d'un crime ou d'un délit n'est pas poursuivie jusqu'à son terme ou que le résultat nécessaire à la consommation de l'infraction ne se produit pas ou ne pouvait pas se produire.</w:t>
      </w:r>
    </w:p>
    <w:p>
      <w:r>
        <w:rPr>
          <w:b/>
        </w:rPr>
        <w:t>E. 2.4</w:t>
      </w:r>
    </w:p>
    <w:p>
      <w:r>
        <w:t>En l'espèce, C______ a d'emblée été mis en cause par A______ de manière précise concernant l'occurrence au CAFÉ H______ (chiffre C.I.2). Il a détaillé aussi bien le modus operandi , le comportement défensif de la victime, que le montant du butin, alors que lui-même ne s'était, selon ses dires, pas rendu sur les lieux. Ses déclarations ont été constantes et crédibles. Elles sont corroborées par le récit qu'a fait E______ des événements, qui a notamment décrit un agresseur contrarié d'avoir été frappé, alors que A______ a rapporté que C______ avait reçu une claque et était en colère. Il n'est pas plausible que A______ ait eu le temps d'inventer autant de détails cohérents, au demeurant non contestés par C______, alors qu'il venait d'être arrêté en flagrant délit pour d'autres faits. Un autre élément important soutenant la thèse de A______ est que celui-ci agissait bien à l'époque avec C______. Certes, E______ n'a pas reconnu C______ lors du line-up . Il reste qu'elle a désigné (à 50%) un homme à la peau blanche et à la taille/carrure grosso modo comparable à celle de C______, bien qu'elle ait admis n'avoir vu, dans l'obscurité, qu'un profil, partiellement recouvert par une capuche. A______ a également mis en cause C______ au sujet de l'ÉPICERIE L______ (chiffre C.I.4). Ses déclarations ont été constantes sur ce point également et sont, comme il vient d'être indiqué, globalement crédibles. Il est vrai que G______ n'a reconnu C______ comme son agresseur qu'à 60%. La victime a cependant précisé être quasiment sûre d'avoir reconnu son visage, seul le port d'un bonnet lors du brigandage l'empêchant d'en être totalement certaine à l'occasion du line-up . La pénombre et la faible luminosité lors du brigandage peuvent expliquer qu'il ait initialement décrit un individu à la peau basanée. Alternativement, la victime a pu fusionner ses souvenirs des comparses, ce qui expliquerait la référence à la couleur " chocolat ". Il n'en demeure pas moins que G______ a décrit un homme au visage fin mesurant 180 cm, ce qui est compatible avec le physique de C______, étant encore précisé que sur sa photo passeport, le précité n'a pas la peau particulièrement claire et paraît plutôt émacié. G______ pense avoir vu deux armes de poing, ce que conteste A______, qui pense que la victime a dû se méprendre à la vue des gants noirs de C______. Cette dernière hypothèse est plausible, la perception de la victime ayant pu être légèrement altérée par les circonstances de l'agression, sans que cela n'affecte la crédibilité de son témoignage. Il est également possible que, comme précédemment, un phénomène de confusion entre les deux agresseurs se soit produit. Hormis le revirement de dernière minute de A______ au CAFÉ H______, le modus operandi et le type de cibles sont similaires aux autres occurrences, en particulier, celles de l'ÉPICERIE M______ et du KIOSQUE N______, toutes deux admises par les prévenus et dont il n'est pas fait appel. En effet, les brigandages étaient effectués de nuit afin de réduire les risques encourus, les cibles étaient pour la majorité des commerces ou restaurants de petites tailles, possédant des caisses ou coffres-forts. Il n'est pas surprenant qu'aucune trace ADN n'ait été retrouvée à l'ÉPICERIE L______, la victime elle-même ayant affirmé que les agresseurs n'avaient rien touché dans le magasin, à l'exception du tiroir-caisse, avec des gants. Il n'est pas déterminant qu'à teneur des relevés de télécommunications, il n'y ait pas eu de contact entre C______ et A______ entre le 8 février et le 24 mars 2015, dans la mesure où cela ressort des données rétroactives suisses uniquement, alors que les prévenus utilisaient des numéros français – le coût des communications sur le réseau suisse pouvant être la raison de cette absence – et séjournaient en France, ne venant en Suisse que pour y perpétrer leurs délits. En revanche, les données françaises ont établi qu'il y eu de nombreux contacts téléphoniques entre les précités à tout le moins les 16 et 22 mars 2015, ainsi que le 2 mai 2015. Par ailleurs, A______ et C______ étaient libres de converser de vive voix lorsque le premier hébergeait le second. Aucun élément tangible ne permet de penser que A______ a agi avec un autre comparse, ni dans le cas du CAFÉ H______, ni celui de l'ÉPICERIE L______. Les déclarations de C______ ne permettent pas non plus de susciter un doute raisonnable quant à la présence d'un tiers. La crédibilité globale de A______ est encore renforcée du fait que dans le cas du RESTAURANT J______, la présence de l'ADN de C______ sur les lieux du brigandage est venue confirmer ses dires selon lesquels son comparse y avait participé. Le porte-monnaie de la victime a par ailleurs été retrouvé au bord d'une route dans le secteur géographique préalablement indiqué par A______. Sur la base de ce faisceau d'indices convergents, la CPAR a acquis la conviction que C______ a commis les faits au préjudice de l'ÉPICERIE L______ et du CAFÉ H______. Les prévenus ont agi en tant que coauteurs pour l'occurrence de l'ÉPICERIE L______. Ils ont associé leur volonté afin de commettre ensemble leur méfait, se répartissant les rôles et se mettant d'accord sur la cible, ce qui permet de conclure, de surcroît, qu'ils ont agi avec la circonstance aggravante de la bande pour perpétrer ce brigandage, à l'instar des autres cas admis par les premiers juges et non contestés. Le jugement entrepris sera modifié sur ce point. Concernant le CAFÉ H______, il ressort de l'acte d'accusation que A______ s'est contenté d'attendre et de faire le guet pour son comparse, si bien que c'est à bon droit que les premiers juges ont retenu qu'il lui avait prêté assistance au sens de l'art. 25 CP. Au vu de ce qui précède, la CPAR retient que C______ est coupable de brigandage aggravé au préjudice de l'ÉPICERIE L______ et de brigandage commis aux dépens du CAFÉ H______. L'appel du Ministère public sera donc partiellement admis et le jugement entrepris réformé sur ces points.</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 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(ATF 135 IV 87 consid. 2 p. 89 ; ATF 120 IV 136 consid. 3b p. 145). En principe, l'absence d'antécédents a un effet neutre sur la fixation de la peine et n'a donc pas à être prise en considération dans un sens atténuant (ATF 136 IV 1 consid. 2.6 p. 2). 3.1.3. Dans l'exercice de son pouvoir d'appréciation, le juge doit respecter, en particulier, le principe d'égalité de traitement (art. 8 al. 1 Cst. ; cf. au regard de l'art. 63 a 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Inversement, s'il condamne deux co-accusés à des peines identiques, il doit s'assurer que cette égalité soit justifiée par une équivalence globale des éléments pertinents pour la fixation de la peine (arrêt du Tribunal fédéral 6B_569/2008 du 24 mars 2009 consid. 1.2). 3.1.4. D'après l'art. 49 al. 1 CP, si, en raison d'un ou de plusieurs actes, l'auteur remplit les conditions de plusieurs peines de même genre, le juge le condamne à la peine de l'infraction la plus grave et l'augmente dans une juste proportion. 3.2.1. Celui qui commet un brigandage sera puni d'une peine privative de liberté de dix ans au plus ou d'une peine pécuniaire de 180 jours-amende au moins, et d'une peine privative de liberté de deux ans au moins dans le cas de l'aggravante de la bande. L'infraction de séquestration et enlèvement sera punie d'une peine privative de liberté de cinq ans au plus ou d'une peine pécuniaire. 3.2.2.1. En l'espèce, la faute de A______ et C______ est lourde. Ils s'en sont pris au patrimoine et à la liberté de mouvement d'autrui pour leur profit personnel. Les faits sont graves, les auteurs s'étant munis d'une arme, certes factice, ou d'un couteau, pour menacer et brutaliser leurs victimes, sans égard pour la peur profonde qu'ils pouvaient susciter. Cette violence est disproportionnée par rapport à la valeur des butins espérés et récoltés. Les prévenus ont commis un grand nombre d'actes sur une courte période, à intervalles rapprochés, mus par l'appât du gain facile. Seule leur arrestation a permis de mettre fin à leurs agissements, ce qu'ils ont admis. 3.2.2.2. C______ a sans doute joué un rôle moteur, les déclarations de A______ à cet égard étant crédibles et confirmées par certains éléments du dossier, tels le choix de la cible du 31 mars 2015, connue du premier, ou le fait que le second servait de chauffeur au premier. La personnalité des intéressés telle qu'elle s'est révélée au fil de la procédure va également dans le sens d'une plus grande force de caractère de C______. Pour autant, rien n'indique que A______ était sous la férule de C______. Il a d'ailleurs su refuser sa participation à l'occasion du CAFÉ H______. La collaboration de A______ a été bonne, il a d'emblée reconnu les faits qui lui étaient reprochés et en a dénoncés d'autres spontanément. Sa situation financière est certes obérée, sans que cela n'excuse ses agissements. Il bénéficie d'ailleurs d'une formation. Il entretient des liens étroits avec son ancienne épouse, mère de son fils. Il a présenté des excuses et exprimé des regrets à plusieurs reprises au cours de la procédure. Sa prise de conscience n'est toutefois pas parfaite, puisqu'il rejette une partie de sa responsabilité sur son comparse. Il y a concours d'infractions entre cinq brigandages, dont un cas pour lequel il n'a été que complice et quatre autres commis en tant qu'affilié à une bande, une tentative de brigandage et l'infraction de séquestration et enlèvement, qui est concrètement l'infraction la plus grave. Ses antécédents étrangers sont anciens et non spécifiques. Compte tenu de ces éléments, la peine privative de liberté ferme de trois ans et six mois prononcée par les premiers juges à l'endroit de A______ consacre une application correcte des critères de l'art. 47 CP. Un sursis partiel n'entre pas en considération vu la peine prononcée. L'appel de A______ et l'appel joint du Ministère public seront rejetés. 3.2.2.3. Les faits commis à l'encontre de F______ sont d'une gravité particulière, cette victime ayant été séquestrée dans les circonstances décrites précédemment, alors que C______ la menaçait avec un couteau. La collaboration de ce dernier a été mauvaise. C______ a uniquement reconnu les brigandages pour lesquels il avait été pris en flagrant délit ou filmé par les caméras de vidéosurveillance. Il s'est obstiné à contester les actes commis au préjudice de son ancienne patronne, nonobstant la présence de son ADN sur le porte-monnaie de la victime. Il jouissait d'un emploi rémunéré et d'une formation professionnelle, facteurs propres à l'empêcher de tomber dans de la délinquance. Certes, la perte brutale de sa compagne, en 2013, a dû l'affecter durablement, mais cette épreuve, dont la pénibilité n'est pas ici remise en doute, ne peut être mise en rapport, deux ans plus tard, avec les infractions commises. Comme déjà évoqué, il a eu un rôle prépondérant. Il n'y a aucune prise de conscience de la part de C______, ce que reflète sa mauvaise collaboration. Les regrets qu'il a présentés paraissent circonstanciels. Il a opté pour une tactique de défense peu courageuse, consistant à nier la majorité des faits qui lui étaient reprochés et à mettre en doute la crédibilité des propos de son comparse, cherchant en outre à justifier ses actes par le décès de sa compagne. Il y a concours d'infractions entre cinq brigandages, dont quatre commis en bande, une tentative de brigandage et l'infraction de séquestration et enlèvement. L'absence d'antécédents a un effet neutre sur la peine (ATF 136 IV 1 consid. 2.6). Vu les verdicts de culpabilité prononcés par la CPAR à l'encontre de C______, il se justifie de le condamner à une peine privative de liberté ferme de quatre ans et six mois. Les conditions de l'octroi du sursis partiel font défaut, vu la peine prononcée. Le jugement entrepris sera réformé sur ces points.</w:t>
      </w:r>
    </w:p>
    <w:p>
      <w:r>
        <w:rPr>
          <w:b/>
        </w:rPr>
        <w:t>E. 4</w:t>
      </w:r>
    </w:p>
    <w:p>
      <w:r>
        <w:t>Les motifs ayant conduit les premiers juges à prononcer, par ordonnance séparée du 22 janvier 2016, le maintien de C______ en détention pour des motifs de sûreté sont toujours d'actualité, ce que celui-ci ne conteste au demeurant pas, de sorte que la mesure sera reconduite mutatis mutandis (ATF 139 IV 277 consid. 2.2 à 2.3). La question ne se pose pas pour l'appelant A______, celui-ci exécutant sa peine de manière anticipée.</w:t>
      </w:r>
    </w:p>
    <w:p>
      <w:r>
        <w:rPr>
          <w:b/>
        </w:rPr>
        <w:t>E. 5.1</w:t>
      </w:r>
    </w:p>
    <w:p>
      <w:r>
        <w:t>Les prévenus ont été condamnés, pour moitié chacun, aux frais de la procédure de première instance. Cette répartition ne contrevient pas à l'art. 426 al. 1 CPP, tant l'acquittement partiel prononcé par les premiers juges en faveur de C______ (Q______, C.I.1), non contesté par le Ministère public, est accessoire au regard des chefs de culpabilité supplémentaires prononcés ce jour. Le précité n'a de surcroît pas fait appel (art. 428 al. 3 CPP).</w:t>
      </w:r>
    </w:p>
    <w:p>
      <w:r>
        <w:rPr>
          <w:b/>
        </w:rPr>
        <w:t>E. 5.2</w:t>
      </w:r>
    </w:p>
    <w:p>
      <w:r>
        <w:t>L'appelant A______ succombe, tandis que le Ministère public obtient partiellement satisfaction pour son appel principal et succombe dans son appel joint. Par conséquent, l'appelant A______ et C______ supporteront chacun 2/5 des frais de la procédure d'appel, comprenant dans leur totalité un émolument de CHF 3'000.-, le solde (1/5) étant laissé à la charge de l'État (art. 428 CPP et art. 14 al. 1 let. e du règlement fixant le tarif des frais en matière pénale ; [RTFMP - E 4 10.03]).</w:t>
      </w:r>
    </w:p>
    <w:p>
      <w:r>
        <w:rPr>
          <w:b/>
        </w:rPr>
        <w:t>E. 6</w:t>
      </w:r>
    </w:p>
    <w:p>
      <w:r>
        <w:t>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l'équivalent de la TVA est versé en sus. Les deux Chambres de la Cour pénale de la Cour de justice ont eu l'occasion de constater la constitutionnalité de ces tarifs ( AARP/101/2016 du 16 mars 2016 ; AARP/52/2016 du 9 février 2016 et ACPR/703/2015 du 21 décembre 2015) et entendent se tenir à cette jurisprudence, jusqu'à droit jugé par le Tribunal fédéral ou le Tribunal pénal fédéral, tous deux saisis de recours.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6.2.3.1.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6.2.3.2.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sont en principe inclus dans le forfait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6.2.4. L'activité qui n'est pas nécessaire à la défense devant les autorités cantonales n'est pas couverte par l'assistance juridique cantonale.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AARP/331/2015 du 27 juillet 2015 ; AARP/329/2015 du 30 juillet 2015 ; AARP/304/2015 du 16 juillet 2015 ; AARP/301/2015 du 20 juillet 2015 ; AARP/271/2015 du 8 juin 2015 ; AARP/198/2015 du 31 mars 2015 ; AARP/152/2015 du 24 mars 2015). 6.3.1. À la lecture des postes de l'état de frais produit par M e B______, défenseur d'office de l'appelant A______, il apparaît que doivent en être retranchés l'heure et demie pour une visite " post jugement", l'examen de l'opportunité d'un recours au Tribunal fédéral n'étant pas prise en charge par l'assistance judiciaire cantonale, ainsi que l'heure et quarante-cinq minutes pour la rédaction de la déclaration d'appel, prestation comprise dans le forfait pour l'activité diverse. Au surplus, l'activité exercée dans le cadre de la présente procédure est en adéquation avec la nature, l'importance et la difficulté de la cause. Pour les motifs évoqués supra (consid. 6.2.1. in fine ), il n'y a pas lieu de s'écarter du tarif fixé par le règlement, comme le souhaiterait la requérante. Par conséquent, l'état de frais est admis, sous réserve des modifications qui précèdent, à concurrence de 01h00 au tarif de CHF 200.-/heure, 01h30 à celui de CHF 65.-/heure et 11h00 à celui de CHF 125.-/heure, auxquelles il convient d'ajouter la durée de l'audience d'appel (03h15 à CHF 125.-/heure), pour un total intermédiaire de CHF 2'078.75. L'indemnisation requise sera ainsi accordée à hauteur de CHF 2'469.56, comprenant le forfait pour l'activité diverse à 10%, soit CHF 207.88, compte tenu de l'activité déployée jusqu'en appel pour plus de 30 heures, TVA à 8% comprise, soit CHF 182.93. 6.3.2. La note d'honoraire produite par M e D______, défenseur d'office de l'intimé C______, est globalement adéquate et conforme aux principes applicables en la matière, de sorte qu'elle sera admise, sous la réserve de l'heure et demie dédiée à un entretien postérieur à l'arrêt de la CPAR, pour les raisons exposées supra (consid. 6.2.4. et 6.3.1.). Il convient cependant d'y ajouter la durée de l'audience d'appel (03h15). En conclusion, l'indemnité sera arrêtée à CHF 3'623.40, correspondant à 15h15 d'activité au tarif de CHF 200.-/heure, plus la majoration forfaitaire de 10%, soit CHF 305.-, compte tenu de l'activité déployée jusqu'en appel pour plus de 30 heures, TVA au taux de 8% incluse, soit CHF 268.40.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