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P/9478/2021 vom 16. Juni 2021</w:t>
      </w:r>
    </w:p>
    <w:p>
      <w:r>
        <w:t>GE Cour de justice, 2021-06-16, FR</w:t>
      </w:r>
    </w:p>
    <w:p>
      <w:r>
        <w:rPr>
          <w:b/>
        </w:rPr>
        <w:t xml:space="preserve">Quelle: </w:t>
      </w:r>
      <w:r>
        <w:t>https://mcp.opencaselaw.ch/entscheid/ge_gerichte_P_9478_2021</w:t>
      </w:r>
    </w:p>
    <w:p>
      <w:r>
        <w:t>FR: GE_GERICHTE P/9478/2021 du 16 juin 2021</w:t>
      </w:r>
    </w:p>
    <w:p>
      <w:r>
        <w:t>IT: GE_GERICHTE P/9478/2021 del 16 giugno 2021</w:t>
      </w:r>
    </w:p>
    <w:p>
      <w:pPr>
        <w:pStyle w:val="Heading2"/>
      </w:pPr>
      <w:r>
        <w:t>Regeste</w:t>
      </w:r>
    </w:p>
    <w:p>
      <w:r>
        <w:t>MINISTÈRE PUBLIC;RISQUE DE FUITE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Ministère public qui, partie à la procédure (art. 104 al. 1 let. c CPP), a qualité pour agir, ayant un intérêt juridiquement protégé à la modification ou à l'annulation de la décision querellée (art. 381 al. 1 CPP).</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l'intimé conteste partiellement les charges. Il appartiendra au juge du fond de se prononcer sur sa culpabilité et d'apprécier sa responsabilité, en tant qu'il prétend avoir été alcoolisé en pénétrant dans la laverie et n'avoir pas vu, en raison de son handicap à un oeil, qu'il s'agissait d'une enseigne exploitée par E______ SARL. En l'état du dossier, les soupçons pesant sur lui sont suffisants.</w:t>
      </w:r>
    </w:p>
    <w:p>
      <w:r>
        <w:rPr>
          <w:b/>
        </w:rPr>
        <w:t>E. 3</w:t>
      </w:r>
    </w:p>
    <w:p>
      <w:r>
        <w:t>Le recourant considère qu'il existe un risque de fuite concret.</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La proximité de l'audience de jugement rend généralement le risque de fuite plus aigu (arrêt du Tribunal fédéral 1B_447/2011 du 21 septembre 2011).</w:t>
      </w:r>
    </w:p>
    <w:p>
      <w:r>
        <w:rPr>
          <w:b/>
        </w:rPr>
        <w:t>E. 3.2</w:t>
      </w:r>
    </w:p>
    <w:p>
      <w:r>
        <w:t>En l'espèce, l'intimé est de nationalité étrangère, sans domicile, ressources financières et attaches en Suisse. Il fait l'objet d'une décision de renvoi et d'expulsion judiciaire en force. S'il affirme certes n'avoir aucun intérêt à quitter la Suisse, où il recevait des soins médicaux gratuits, rien ne l'empêcherait de plonger dans la clandestinité et de se soustraire ainsi à la justice. Du reste, au moment de son interpellation, le 30 mai 2021, il était sous avis de recherche et d'arrestation, ce qui démontre qu'il est prêt à se rendre introuvable, le cas échéant pour empêcher son renvoi de Suisse. Partant, le risque de fuite est patent. Celui-ci ne saurait être pallié par les mesures de substitution proposées, une assignation à résidence, même couplée à un appareillage de surveillance électronique, étant matériellement irréalisable - le prévenu n'ayant aucun domicile fixe ni titre de séjour valable en Suisse -. L'obligation de se présenter régulièrement à un service administratif n'est par ailleurs pas suffisante, une telle mesure ne permettant tout au plus que de constater la fuite a posteriori . L'objection du recourant est donc fondée.</w:t>
      </w:r>
    </w:p>
    <w:p>
      <w:r>
        <w:rPr>
          <w:b/>
        </w:rPr>
        <w:t>E. 4</w:t>
      </w:r>
    </w:p>
    <w:p>
      <w:r>
        <w:t>L'admission dudit risque dispense d'examiner s'il existe, en sus, un risque de réitération.</w:t>
      </w:r>
    </w:p>
    <w:p>
      <w:r>
        <w:rPr>
          <w:b/>
        </w:rPr>
        <w:t>E. 5</w:t>
      </w:r>
    </w:p>
    <w:p>
      <w:r>
        <w:t>L'intimé rétorque que sa détention serait disproportionnée.</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Sous l'angle du principe de la proportionnalité, le rapport entre la durée de la détention déjà subie et celle encourue n'est en tout cas pas seul déterminant : ce sont bien plutôt les circonstances concrètes du cas à trancher qui sont décisives (ATF 145 IV 179 consid. 3.5. p. 183).</w:t>
      </w:r>
    </w:p>
    <w:p>
      <w:r>
        <w:rPr>
          <w:b/>
        </w:rPr>
        <w:t>E. 5.2</w:t>
      </w:r>
    </w:p>
    <w:p>
      <w:r>
        <w:t>En l'espèce, l'instruction est sur le point de s'achever, un avis de prochaine clôture venant semble-t-il d'être rendu. Un renvoi en jugement devrait donc pouvoir intervenir à brève échéance. La durée de la détention provisoire de l'intimé, interpellé il y a un peu plus de deux semaines, ne viole manifestement pas le principe de la proportionnalité.</w:t>
      </w:r>
    </w:p>
    <w:p>
      <w:r>
        <w:rPr>
          <w:b/>
        </w:rPr>
        <w:t>E. 6</w:t>
      </w:r>
    </w:p>
    <w:p>
      <w:r>
        <w:t>Fondé, le recours sera admis, l'ordonnance querellée annulée, et l'échéance de la détention fixée au 1 er août 2021, correspondant à l'échéance de deux mois requise par le Ministère public dans sa demande de mise en détention provisoire.</w:t>
      </w:r>
    </w:p>
    <w:p>
      <w:r>
        <w:rPr>
          <w:b/>
        </w:rPr>
        <w:t>E. 7</w:t>
      </w:r>
    </w:p>
    <w:p>
      <w:r>
        <w:t>L'admission du recours ne donne pas lieu à la perception de frais (art. 428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