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P/9476/2016 vom 17. Dezember 2018</w:t>
      </w:r>
    </w:p>
    <w:p>
      <w:r>
        <w:t>GE Cour de justice, 2018-12-17, FR</w:t>
      </w:r>
    </w:p>
    <w:p>
      <w:r>
        <w:rPr>
          <w:b/>
        </w:rPr>
        <w:t xml:space="preserve">Quelle: </w:t>
      </w:r>
      <w:r>
        <w:t>https://mcp.opencaselaw.ch/entscheid/ge_gerichte_P_9476_2016</w:t>
      </w:r>
    </w:p>
    <w:p>
      <w:r>
        <w:t>FR: GE_GERICHTE P/9476/2016 du 17 décembre 2018</w:t>
      </w:r>
    </w:p>
    <w:p>
      <w:r>
        <w:t>IT: GE_GERICHTE P/9476/2016 del 17 dicembre 2018</w:t>
      </w:r>
    </w:p>
    <w:p>
      <w:pPr>
        <w:pStyle w:val="Heading2"/>
      </w:pPr>
      <w:r>
        <w:t>Regeste</w:t>
      </w:r>
    </w:p>
    <w:p>
      <w:r>
        <w:t>CP.144; CP.186; CP.24; CP.25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 ATF 127 IV 122 consid. 2b/aa p. 127 s. et les références ; ATF 124 IV 34 consid. 2c p. 37 s.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 arrêt du Tribunal fédéral 6B_1305/2015 du 13 avril 2016 consid. 2.1.).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 ; arrêt du Tribunal fédéral 6B_1305/2015 du 13 avril 2016 consid. 2.1.). 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115 IV 230 consid. 2b p. 232 ;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(arrêt du Tribunal fédéral 6B_1120/2016 du 23 juillet 2018 consid. 2.3.2 destiné à la publication et les références). 2.1.2.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(arrêt du Tribunal fédéral 6B_8/2010 du 29 mars 2010 consid. 1.2.1).</w:t>
      </w:r>
    </w:p>
    <w:p>
      <w:r>
        <w:rPr>
          <w:b/>
        </w:rPr>
        <w:t>E. 2.2</w:t>
      </w:r>
    </w:p>
    <w:p>
      <w:r>
        <w:t>En l'espèce, l'intimé C______ n'a pas mandaté le serrurier pour couper le cadenas de la cave, ni donné l'instruction à la société de déménagement d'en vider le contenu et d'amener les affaires à la déchetterie. C'est I______ qui a agi ainsi et le dossier n'établit pas qu'il l'aurait fait sur instigation de l'intimé. Celui-là a déclaré qu'il avait suivi les instructions de son supérieur hiérarchique, soit H______, alors que les deux hommes savaient que les affaires appartenaient à un tiers, preuve en est qu'il a été nécessaire de faire intervenir un serrurier. La CPAR retient à cet égard qu'il n'est pas établi que l'intimé aurait dit que les affaires pouvaient être jetées, comme l'a soutenu H______, sans que cela soit confirmé par I______. Il a plutôt affirmé que, pour ce qui le concernait, la cave pouvait être débarrassée. Or, ces propos, insérés dans leur contexte, ne sauraient être compris comme une instruction ni même une suggestion de forcer le cadenas de la cave et d'en jeter le contenu sans autre précautions. En affirmant qu'il se désintéressait personnellement du sort de ces affaires, voire que la cave pouvait être débarrassée, l'intimé, qui n'était plus ni actionnaire ni organe de D______ SA et n'avait donc plus aucun lien juridique avec les locaux loués et la cave, a tout au plus créé une situation dans laquelle une autre personne pouvait éventuellement se décider à commettre une infraction ; il n'a pas exercé une influence psychique ou intellectuelle directe sur la formation de la volonté d'autrui. Il se justifie par conséquent de confirmer l'acquittement prononcé en première instance.</w:t>
      </w:r>
    </w:p>
    <w:p>
      <w:r>
        <w:rPr>
          <w:b/>
        </w:rPr>
        <w:t>E. 3</w:t>
      </w:r>
    </w:p>
    <w:p>
      <w:r>
        <w:t>Les conclusions civiles formulées par l'intimé pour la première fois en appel sont irrecevables, car tardives (art. 123 al. 2 CPP).</w:t>
      </w:r>
    </w:p>
    <w:p>
      <w:r>
        <w:rPr>
          <w:b/>
        </w:rPr>
        <w:t>E. 4.1</w:t>
      </w:r>
    </w:p>
    <w:p>
      <w:r>
        <w:t>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141 IV 476 consid. 1.1 et ATF 139 IV 45 consid. 1.2).</w:t>
      </w:r>
    </w:p>
    <w:p>
      <w:r>
        <w:rPr>
          <w:b/>
        </w:rPr>
        <w:t>E. 4.2</w:t>
      </w:r>
    </w:p>
    <w:p>
      <w:r>
        <w:t>. Dans le cas d'espèce, vu la relative complexité de l'affaire en fait et en droit et compte tenu du fait que la partie plaignante était représentée, l'assistance d'un avocat était nécessaire à l'intimé. L'intimé n'a pas formé appel de sorte qu'il n'y a pas lieu de revenir sur l'indemnité qui lui a été allouée en première instance. Des documents produits, les dépenses occasionnées par la procédure d'appel s'élèvent à CHF 3'324.70 (frais et TVA compris), correspondant à 7 heures d'activité en appel au tarif de CHF 420.-/l'heure, dont deux heures estimées pour la durée de l'audience, la durée effective ayant été d'une heure. Le total sera ainsi arrêté à 6 heures à CHF 420.- (CHF 2'520.-), plus CHF 147.- de frais et 7.7% de TVA (CHF 205.35), soit un total de CHF 2'872.35, à la charge des parties plaignantes qui étaient les seules à faire appel et ont succombé.</w:t>
      </w:r>
    </w:p>
    <w:p>
      <w:r>
        <w:rPr>
          <w:b/>
        </w:rPr>
        <w:t>E. 5</w:t>
      </w:r>
    </w:p>
    <w:p>
      <w:r>
        <w:t>Les appelants, qui succombent intégralement, supporteront les frais de la procédure d'appel, qui comprennent un émolument de jugement de CHF 1'500.- (art. 428 al. 1 CPP et 14 al. 1 let. e du Règlement fixant le tarif des frais en matière pénale ; E 4 10.03). Vu l'issue de la procédure, ils seront déboutés de leurs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