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P/9465/2013 vom 9. September 2014</w:t>
      </w:r>
    </w:p>
    <w:p>
      <w:r>
        <w:t>GE Cour de justice, 2014-09-09, FR</w:t>
      </w:r>
    </w:p>
    <w:p>
      <w:r>
        <w:rPr>
          <w:b/>
        </w:rPr>
        <w:t xml:space="preserve">Quelle: </w:t>
      </w:r>
      <w:r>
        <w:t>https://mcp.opencaselaw.ch/entscheid/ge_gerichte_P_9465_2013</w:t>
      </w:r>
    </w:p>
    <w:p>
      <w:r>
        <w:t>FR: GE_GERICHTE P/9465/2013 du 9 septembre 2014</w:t>
      </w:r>
    </w:p>
    <w:p>
      <w:r>
        <w:t>IT: GE_GERICHTE P/9465/2013 del 9 settembre 2014</w:t>
      </w:r>
    </w:p>
    <w:p>
      <w:pPr>
        <w:pStyle w:val="Heading2"/>
      </w:pPr>
      <w:r>
        <w:t>Regeste</w:t>
      </w:r>
    </w:p>
    <w:p>
      <w:r>
        <w:t>HOMICIDE; MEURTRE; LÉGITIME DÉFENSE; EXCÈS | CP.111; CP.15; CP.16.2; CP.16.1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Alors que l'art. 111 CP réprime l'infraction de meurtre, l'art. 113 CP une forme privilégiée d'homicide intentionnel, qui se distingue par l'état particulier dans lequel se trouvait l'auteur au moment d'agir. Celui-ci doit avoir tué alors qu'il était en proie à une émotion violente ou se trouvait dans un profond désarroi.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(ATF 118 IV 233 consid. 2a p. 236 ; arrêt du Tribunal fédéral 6S.310/2006 du 29 novembre 2006 consid. 3 et les références citées). L'émotion violente suppose que l'auteur réagisse de façon plus ou moins immédiate à un sentiment soudain qu'il ne parvient pas à dominer. Pour admettre le meurtre passionnel, il ne suffit pas de constater que l'auteur était en proie à une émotion violente ou se trouvait dans un profond désarroi. Il faut encore que son état ait été rendu excusable par les circonstances (ATF 119 IV 202 consid. 2a p. 203 s. ; 118 IV 233 consid. 2a p. 235 s.) ; ce n'est pas l'acte commis qui doit être excusable. Le plus souvent, cet état est rendu excusable par le comportement blâmable de la victime à son égard. Il peut cependant aussi l'être par le comportement d'un tiers ou par des circonstances objectives. L'application de l'art. 113 CP est réservée à des circonstances dramatiques, dues principalement à des causes échappant à la volonté de l'auteur et qui s'imposent à lui. Pour que son état soit excusable, l'auteur ne doit pas être responsable, ou principalement responsable, de la situation conflictuelle qui le provoque (ATF 119 IV 202 consid. 2a p. 204 s. et les réf.). 2.2.1. Selon l'art. 15 CP, quiconque, de manière contraire au droit, est attaqué ou menacé d'une attaque imminente a le droit de repousser l'attaque par des moyens proportionnés aux circonstances ; le même droit appartient aux tiers.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ATF 107 IV 12 consid. 3 p. 15 ; ATF 102 IV 65 consid. 2a p. 68 ; arrêt du Tribunal fédéral 6B_889/2013 du 17 février 2014 consid. 2.1). En particulier,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p. 52 et les références citées ; arrêt du Tribunal fédéral 6B_889/2013 du 17 février 2014 consid. 2.1). 2.2.2. À teneur de l'art. 16 al. 2 CP, celui qui repousse une attaque en excédant les limites de la légitime défense n’agit pas de manière coupable si cet excès provient d'un état excusable d'excitation ou de saisissement causé par l'attaque. L'auteur de l'excès n'encourt donc pas de peine dans la mesure seulement où l'attaque sans droit est la seule cause ou la cause prépondérante de l'excitation ou du saisissement de celui qui se défend, à condition encore que la nature et les circonstances de l'attaque rendent excusable cette excitation ou ce saisissement.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Peur ne signifie pas nécessairement état de saisissement au sens de l'art. 16 al. 2 CP (arrêts du Tribunal fédéral 6S.38/2007 du 14 mars 2007 consid. 2 et 6S.108/2006 du 12 mai 2006 consid. 1-2).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Il sera d'autant plus exigeant que la riposte aura été plus nocive ou dangereuse. Mais il n'est pas nécessaire que la réaction ne paraisse pas fautive. Il suffit qu'une peine ne s'impose pas. Malgré la formulation absolue de la loi, un certain pouvoir d'appréciation est laissé au juge (ATF 102 IV 1 consid. 3b p. 7 ; SJ 1988 p. 121). Déterminer dans quel état se trouvait la personne attaquée est une question de fait. Dire si cet état constaté est constitutif d'un état excusable de saisissement est par contre une question de droit. Si les conditions de l'art. 16 al. 2 CP ne sont pas réalisées, l'auteur qui a excédé les limites de la légitime défense bénéficiera néanmoins d'une atténuation de la peine, conformément à l'alinéa premier de cette même disposition.</w:t>
      </w:r>
    </w:p>
    <w:p>
      <w:r>
        <w:rPr>
          <w:b/>
        </w:rPr>
        <w:t>E. 2.3</w:t>
      </w:r>
    </w:p>
    <w:p>
      <w:r>
        <w:t>. A juste titre l'appelant ne conteste plus avoir commis un meurtre par dol éventuel, au sens de l'art. 111 CP, renonçant à plaider le meurtre passionnel de l'art. 113 CP. En effet, il avait eu tout loisir de constater, à son arrivée dans l'appartement où se sont déroulés les faits, que son ex-épouse n'était pas en train de subir une attaque. D'ailleurs, sa réaction immédiate a été de diriger son spray au poivre contre B______, pour le faire déguerpir, et non de l'attaquer à coups de couteau. Les coups de couteau n'ont été assénés qu'ultérieurement, dans une troisième phase, alors que selon l'appréciation des premiers juges, qui lie la CPAR en l'absence d'appel du MP, l'appelant se trouvait en état de légitime défense, venant de subir, une contre-attaque disproportionnée de B______, laquelle durait encore dans la mesure où ce dernier cherchait dans la pièce de nouveaux objets à lancer dans sa direction qui était également celle de son ex-épouse, derrière lui. Cependant, comme l'ont retenu les premiers juges, rien ne donne à penser que la continuation de cette contre-attaque exposait ces deux protagonistes à un dommage sérieux, ni que l'appelant l'ait pensé. Ainsi, l'appelant n'a jamais soutenu avoir observé la présence dans la pièce d'objets aussi lourds que la chaise de bureau et la table basse, dont le lancer n'avait pas, ou guère, causé de dégâts, et n'a jamais décrit le danger qu'il aurait entrevu. En particulier, il reconnaît ne pas avoir pensé à l'hypothèse, développée pour la première fois en appel par son défenseur, selon laquelle B______ aurait pu s'emparer d'un bris de verre. Dans ces circonstances, la réaction qui a consisté à sortir son couteau de sa poche, l'ouvrir et se précipiter, sans avertissement, sur B______ pour le toucher à trois reprises, prenant le risque, qui s'est réalisé, de le blesser mortellement, était clairement disproportionnée. Sans doute, cette réaction excessive a-t-elle été dictée par une émotion. Dès lors que, comme il vient d'être dit, l'appelant n'avait aucune raison de penser que la contre-attaque de B______ entrainait un danger sérieux pour son ex-épouse ou lui-même, cette émotion ne pouvait, contrairement à ce qu'il soutient, tenir au sentiment de devoir protéger son épouse, à tout le moins pas directement. Comme l'ont retenu les premiers juges, ne reste que la colère que l'appelant a sans doute éprouvée à l'égard de celui qui s'en était, selon sa représentation des choses, violemment pris à celle qu'il devait protéger et/ou qui n'avait pas pris la fuite mais avait contre-attaqué lorsqu'il avait voulu le chasser à coups de spray d'autodéfense. Aussi, le sentiment de devoir protéger évoqué par l'expert - dont la mission était de renseigner le juge sur les capacités cognitives et volitives du prévenu et non sur son mobile - n'a-t-il pu, au plus, jouer qu'un rôle indirect, dans la mesure où il a pu contribuer à la colère de l'appelant. L'état dans lequel l'appelant s'est ainsi trouvé ne saurait être tenu pour excusable, tant eu égard au fait que la colère est une émotion que l'appelant devait pouvoir maîtriser que, surtout, eu égard à l'acharnement avec lequel il s'en est pris à la victime, la blessant à trois reprises de son couteau, qu'au vu de la nocivité létale de ses gestes. Dans ces circonstances, on ne saurait suivre l'appelant lorsqu'il requiert le bénéfice de l'art. 16 al. 2 CP de sorte que l'appel doit être rejeté et le jugement entrepris confirmé s'agissant du verdict de culpabilité.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Le juge atténuera la peine de l'auteur mis au bénéficie d'une circonstance atténuante.</w:t>
      </w:r>
    </w:p>
    <w:p>
      <w:r>
        <w:rPr>
          <w:b/>
        </w:rPr>
        <w:t>E. 3.2</w:t>
      </w:r>
    </w:p>
    <w:p>
      <w:r>
        <w:t>Les premiers juges ont correctement tenu compte de tous les éléments pertinents, soulignant que l'appelant s'en était pris au bien juridique le plus précieux et avait agi avec détermination, en frappant à trois reprises avec son couteau au niveau du torse et de la nuque de B______, tout en précisant que les faits s'étaient déroulés sur un laps de temps très court, que le mobile relevait d'un état momentané de colère mal maitrisée aux dépens de la vie d'autrui, que la responsabilité de l'appelant était entière et, enfin, que la faute, en soi lourde, était néanmoins atténuée par le fait que l'appelant avait agi en état de légitime défense excessive au sens de l'art. 16 al. 1 CP. Les premiers juges n'ont pas omis de souligner les traits de caractère positifs de l'appelant, qualifié de responsable, honnête et stable, ainsi que son bon parcours. En effet, celui-ci n'a pas d'antécédents judiciaires, s'est, sous réserve d'une consommation soutenue de stupéfiants, très bien intégré à la vie en Suisse, s'investit dans son rôle de beau-père et est resté soutenant à l'égard de son ex-épouse. Il a également donné satisfaction dans l'exercice de son activité professionnelle. Cette situation globalement favorable rend difficilement compréhensible un instant d'égarement aux conséquences si graves mais laisse augurer d'une bonne réinsertion le moment venu. La collaboration a été bonne, dès l'arrestation de l'appelant, celui-ci admettant notamment que B______ se tenait tranquille lorsque lui-même était arrivé sur les lieux. Comme souligné par les premiers juges, on ne peut que regretter que, sans aller jusqu'à prendre la fuite, l'appelant se soit néanmoins soustrait pendant quelques heures à son interpellation, n'alertant pas la police alors même qu'il savait B______ touché, puis évitant celle-ci lors de son retour à la rue ______. L'appelant a manifesté à de nombreuses reprises des regrets vifs et fait preuve d'empathie envers sa victime et sa famille, à laquelle il aurait souhaité pouvoir présenter des excuses. La prise de conscience est donc bonne. Elle reste cependant à parfaire, l'appelant devant se convaincre qu'il ne peut échapper à toute sanction. Au regard de l'ensemble de ces circonstances, la CPAR estime qu'il se justifiait de fixer une peine clémente, telle celle de cinq ans résultant du jugement entrepris, mais pas d'aller en deçà, sauf à tomber dans la clémence excessive.</w:t>
      </w:r>
    </w:p>
    <w:p>
      <w:r>
        <w:rPr>
          <w:b/>
        </w:rPr>
        <w:t>E. 4</w:t>
      </w:r>
    </w:p>
    <w:p>
      <w:r>
        <w:t>L''appelant, qui succombe, supportera les frais de la procédure envers l'État (art. 428 CPP), y compris un émolument de CHF 2'000.- (art. 14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