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P/9414/2011 vom 15. Dezember 2015</w:t>
      </w:r>
    </w:p>
    <w:p>
      <w:r>
        <w:t>GE Cour de justice, 2015-12-15, FR</w:t>
      </w:r>
    </w:p>
    <w:p>
      <w:r>
        <w:rPr>
          <w:b/>
        </w:rPr>
        <w:t xml:space="preserve">Quelle: </w:t>
      </w:r>
      <w:r>
        <w:t>https://mcp.opencaselaw.ch/entscheid/ge_gerichte_P_9414_2011</w:t>
      </w:r>
    </w:p>
    <w:p>
      <w:r>
        <w:t>FR: GE_GERICHTE P/9414/2011 du 15 décembre 2015</w:t>
      </w:r>
    </w:p>
    <w:p>
      <w:r>
        <w:t>IT: GE_GERICHTE P/9414/2011 del 15 dicembre 2015</w:t>
      </w:r>
    </w:p>
    <w:p>
      <w:pPr>
        <w:pStyle w:val="Heading2"/>
      </w:pPr>
      <w:r>
        <w:t>Regeste</w:t>
      </w:r>
    </w:p>
    <w:p>
      <w:r>
        <w:t>HOMICIDE; LÉGITIME DÉFENSE; ÉTAT DE NÉCESSITÉ; FIXATION DE LA PEINE; ARME(OBJET) | CP.111; CP.15; CP.17; CP.18;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w:t>
      </w:r>
    </w:p>
    <w:p>
      <w:r>
        <w:rPr>
          <w:b/>
        </w:rPr>
        <w:t>E. 2.2</w:t>
      </w:r>
    </w:p>
    <w:p>
      <w:r>
        <w:t>En l'espèce, la qualification de meurtre retenue par les premiers juges correspond aux éléments du dossier et consacre une correcte application du droit. 2.3.1.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2.3.2.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En cas d'état de nécessité excusable au sens de l'art. 18 CP, les biens juridiques en conflit sont de valeur égale. L'acte reste illicite, mais la faute de l'auteur est exclue ou, à tout le moins, atténuée (arrêt du Tribunal fédéral 6B_720/2007 du 29 mars 2008 consid. 5.1.1). L'auteur doit commettre l'acte punissable pour se préserver d'un danger imminent et impossible à détourner autrement. La différence entre la notion d'attaque imminente au sens de l'art. 15 CP et celle de danger imminent est temporelle. L'atteinte au bien que l'auteur veut protéger est plus proche dans le temps en cas d'attaque qu'en cas de danger. En d'autres termes, l'imminence de cette atteinte est plus grande dans le premier cas que dans le deuxième (ATF 122 IV 1 consid. 3 a p. 5). Est imminent le danger qui est actuel et concret (ATF 122 IV 1 consid. 3a p. 5 ; arrêt du Tribunal fédéral 6B_603/2015 du 30 septembre 2015 consid. 4.2 et les références citées). Un danger permanent et durable, qui peut à tout moment se réaliser, doit être considéré comme imminent. C'est notamment le cas en présence de tyrans domestiques (voir ATF 122 IV 1 ; 125 IV 49 ). Le danger doit être non seulement imminent mais encore impossible à détourner autrement. Cette deuxième condition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 c p. 55 s. ; arrêts du Tribunal fédéral 6B_1056/2013 du 20 août 2014 consid. 5.1 et 6B_622/2008 du 13 janvier 2009 consid. 3.1). 2.3.3. Il se peut aussi que l'auteur agisse en état de nécessité putatif. L'art. 13 CP est alors applicable. Si l'erreur était évitable, une faute subsiste et conduit à une atténuation libre de la peine (ATF 122 IV 1 consid. 2.b p. 4). L'état de nécessité putatif entre en considération lorsque l'auteur croit en l'existence d'un danger imminent et en l'impossibilité de le détourner autrement (ATF 129 IV 6 consid. 3.8 p. 17 ; 122 IV 1 consid. 2 c p. 56) en raison d'une représentation erronée des faits. Le Tribunal fédéral a admis que l'état de nécessité putatif entrait en considération en présence d'un tyran domestique tué par son épouse pendant son sommeil (ATF 122 IV 1 ). Dans un autre cas de tyran domestique, le Tribunal fédéral a souligné que le caractère évitable de l'erreur ne devait pas se déduire de l'existence objective de solutions alternatives, mais être examiné à l'aune de la capacité de l'auteur, dans les circonstances concrètes, de se rendre compte que dites solutions existaient (ATF 125 IV 49 ). Le cas d'espèce concernait deux femmes, souffrant de troubles de la santé mentale, jugées pour complicité dans le meurtre passionnel perpétré par le fils de l'une d'elles contre son père. L'homme en question faisait régner ordre et terreur au sein de la famille qu'il avait créée, contraignant à vivre sous le même toit son ancienne et sa nouvelle épouse et leurs enfants, alliant violences physiques d'une cruauté insoutenable à toute la maisonnée, violences sexuelles, menaces de mort et surveillance étroite de tous les membres de la famille. L'homme était également craint à l'extérieur et la passivité des autorités locales était notoire. 2.4.1. En l'espèce, selon les déclarations du témoin K______, corroborées par l'enquête, qui a montré que le temps nécessaire pour parcourir l'allée menant de l'avenue ______, où le taxi s'est arrêté, à la porte d'entrée du foyer, où la victime a été retrouvée, correspondait à celui qu'il fallait au taxi pour arriver au rond-point, il s'est écoulé au maximum 30 secondes entre le moment où C______ est descendu de voiture et celui où il a été touché par les premières balles. Certes moins pertinent vu sa mention d'un aller-retour du véhicule, en tout état inexistant, le témoignage du résident du foyer va aussi dans le sens d'une quasi immédiateté entre l'arrivée du taxi et les premiers coups de feu. Personne n'a entendu de cris ou d'insultes préalables, qui, en pleine nuit, auraient attiré l'attention des résidents ou du gardien. Cette chronologie exclut toute altercation significative entre la victime et l'appelant. Celui-ci a d'ailleurs renoncé à sa description d'une discussion d'une dizaine de minutes, alignant en fin d'instruction son récit sur les résultats de l'enquête. Il a néanmoins persisté à prétendre qu'il croyait que la victime s'apprêtait à tuer son épouse. D'après les personnes qui l'accompagnaient, la victime est arrivée devant le foyer tenant à la main un sac-poubelle de 110 litres et une pizza, préparée à l'attention de son épouse selon le témoin M______, articles retrouvés près du corps et suffisamment imposants pour être remarqués, même de nuit, mais que l'appelant n'a pas vus. Celui-ci a tenté, au cours de la procédure, de se rattraper à ce propos, en parlant d'un sac noir, que la victime aurait eu la présence d'esprit de récupérer dans sa course, tout en tenant à la main un objet pouvant servir d'arme et alors qu'elle s'apprêtait à aller égorger son épouse. Cette description n'est pas crédible. Trois douilles ont été retrouvées dans les buissons situés à proximité de l'entrée du foyer. Relevant les évolutions de récit de l'appelant au cours de la procédure et l'illogisme d'une course-poursuite où il aurait emprunté le trajet le moins direct et pratique pour rattraper C______, la CPAR retient, à l'instar des premiers juges, que ce positionnement indique sans doute possible que l'appelant attendait sa victime embusqué dans les buissons, tirant les premiers coups lorsque celle-ci s'est approchée. Vu ce qui précède, la CPAR tient pour établi que la victime, qui n'était pas armée, n'avait pas pour dessein d'aller tuer son épouse en empruntant le chemin menant au foyer, ce que l'appelant savait. Les événements précédant l'arrivée de C______ au foyer et suivant les premiers coups de feu confirment que l'attaque alléguée n'est qu'un prétexte. Selon les témoignages probants figurant au dossier, au sujet desquels la position de l'appelant a, comme pour les autres indices à charge, évolué au cours de la procédure, celui-ci a cherché à acquérir une arme dans les mois précédents l'homicide et avait annoncé son intention de tuer C______. Vu l'issue fatale de la soirée du 29 juin 2011, l'absence d'indications concrètes en faveur de la thèse d'une arme achetée presque deux ans plus tôt et le contenu de certains messages échangés entre D______ et l'appelant, il n'est pas infondé de retenir un lien direct entre cette recherche et ce dessein. Cet élément de préméditation s'accorde mal avec la soudaineté propre à la légitime défense. L'appelant s'est rendu de nuit depuis U______ jusqu'à Genève. Il a attendu son rival, à tout le moins une heure, en se cachant, une rencontre avec B______ avant 02h39 n'étant pas exclue. Il s'est encore assuré par téléphone auprès de sa compagne qu'il ne l'avait pas manqué. Il s'était préparé à cette rencontre, venant armé, sans que ses explications à ce propos, dont la diversité illustre le caractère circonstanciel, n'emportent conviction. La CPAR doute par ailleurs qu'un aussi grand amateur d'armes, fait que l'appelant a initialement dissimulé, notamment à l'expert psychiatre, ait pu ignorer comme il le prétend que son arme était non seulement munitionnée mais également en état de fonctionner. L'appelant n'avait par ailleurs pas de raison particulière de craindre pour la vie de sa compagne ce soir-là, la procédure n'ayant pas établi qu'elle l'aurait appelé pour lui signaler de nouvelles violences. Les assistants sociaux ayant rencontré le couple C______ le jour même ont, au contraire, relevé la bonne humeur et l'atmosphère détendue entre les conjoints. Après avoir tiré les premiers coups de feu, vraisemblablement dans le dos de sa victime, qu'il a vue ramper, l'appelant s'est approché et a vidé son chargeur sur elle, à la manière d'une exécution, antinomique d'une attitude de défense. S'il s'était agi d'empêcher que C______ ne parte en courant étrangler son épouse, les premiers coups de feu auraient amplement suffi à freiner la victime dans son élan. L'ensemble des éléments qui précèdent conforte la CPAR dans sa conviction que C______, désarmé, ne s'apprêtait pas à attaquer sa famille, ce que l'appelant savait. Le fait justificatif de la légitime défense doit ainsi être écarté faute d'attaque imminente, réelle ou perçue, de la victime contre son épouse, ses enfants ou l'appelant. 2.4.2. L'appelant a plaidé l'état de nécessité, en dépeignant la victime comme une sorte de tyran domestique susceptible de commettre le pire à tout moment. Il est incontesté que le couple C______ rencontrait des difficultés conjugales depuis son arrivée en Suisse en 2008 et que C______ exerçait des violences tant physiques que psychiques inacceptables sur son épouse. L'homme pouvait se montrer extrêmement brutal, ainsi qu'en attestent les témoignages de l'entourage, y compris de sa propre soeur. B______ a toutefois osé et pu chercher de l'aide, auprès d'une psychiatre, dès 2009, puis en dénonçant à la police les agissements de son mari à l'automne 2010. Les autorités ont pris au sérieux la situation, C______ se retrouvant emprisonné. La CPAR tient pour acquis, en se fondant sur les rapports de l'Hospice général, ainsi que les témoignages des assistantes sociales, de la psychiatre de B______ et de l'entourage, qui évoquent des épisodes de maltraitance situés en 2010, que les violences physiques ont, sinon cessé, du moins largement diminué après l'incarcération de C______. Une intensification est, en tous les cas, à exclure. Vu ces éléments, la CPAR estime que B______ n'a pas déclaré aux autorités que son mari avait changé et était devenu moins violent uniquement pour respecter des préceptes religieux lui interdisant de dire du mal des défunts. Elle n'a d'ailleurs jamais occulté les faits de 2010. Ses déclarations, certes ambiguës, ne sont ainsi pas dénuées de tout fondement, notamment lorsqu'elle explique qu'elle menaçait, avec effet, son mari de nouveaux appels à la police s'il se montrait violent. Le portrait du tyran domestique, dont l'un des traits caractéristiques est le contrôle absolu de ses proies, n'est par ailleurs pas compatible avec la grande liberté dont jouissait B______. Elle n'était ni surveillée, ni dépourvue de ressources, en attestent ses visites hebdomadaires des mois durant en Suisse-allémanique, tantôt seule, tantôt avec les enfants, pour rejoindre son amant, qu'elle avait même épousé, devant témoins, et avec lequel elle n'hésitait pas à se montrer en public. B______ mentait sans conséquence à son mari sur les motifs de ses allées et venues. Elle prenait quelques précautions élémentaires, en utilisant principalement une carte SIM spécifique, qu'elle cachait, pour ses contacts avec son amant, mais ne paraissait pas particulièrement terrifiée par la réaction de son époux s'il était venu à découvrir sa relation extraconjugale, n'hésitant pas à employer également son numéro habituel pour les appels à son compagnon et, à l'inverse, son numéro spécial pour contacter son mari. Tout indique, la téléphonie étant particulièrement éloquente sur ce point, que C______ a découvert la relation extraconjugale de son épouse le week-end du 17-18 juin. Il a manifestement réagi violemment à cette annonce, les déclarations d'E______ confirmant celles de sa sœur sur ce point. La trace sur le cou de B______ observée par le témoin AA______ après décembre 2010 pourrait aussi correspondre à cet épisode. Les policiers dépêchés sur place n'ont toutefois pas constaté de marque inquiétante selon le journal des événements et une intervention médicale n'a pas été nécessaire. Sans minimiser le comportement de C______, force est ainsi de reconnaître que cette journée n'a pas eu l'ampleur que la défense lui prête. Par la suite, B______ n'a plus vu son amant, sa fille expliquant que C______, devenu soupçonneux, surveillait ses mouvements. Cela étant, rien au dossier, pas même les déclarations de la fille aînée du couple, n'étaie la thèse de violences physiques répétées après cette date. Le contrôle exercé demeurait en outre circonscrit, B______ continuant à communiquer aisément avec l'appelant. Il découle de ce qui précède que la situation de B______ n'était aucunement comparable à celle de victimes de tyrans domestiques et qu'il n'existait pas, y compris après le 18 juin, de danger imminent pour sa sécurité ou celle de ses enfants. Sur le plan de l'état de nécessité putatif, la CPAR relève que l'appelant était le témoin direct de la liberté dont jouissait sa compagne. A le suivre, C______, homme lâche, lui avait par ailleurs assuré qu'il ne s'installerait pas dans le nouvel appartement et laisserait donc la famille tranquille. L'appelant a, par la suite, dit ne pas se fier à C______ et le craindre. Celui-ci est devenu à chaque nouvelle audience un personnage un peu plus dangereux et imprévisible, jusqu'à être en permanence armé, ce que la procédure n'a jamais établi. Ceci conforte la CPAR dans sa conviction que les craintes alléguées par l'appelant, si elles n'étaient peut-être pas entièrement inexistantes, ont surtout eu pour but de remédier aux conséquences de certaines de ses premières déclarations, accablantes. L'appelant a alternativement expliqué que l'élément déclencheur de sa venue avait été l'annonce de nouvelles violences le jour même ou quelques jours auparavant, celle d'une fausse couche ou encore l'appel de l'un des fils de la victime lui demandant de venir à son secours. Le but exact de sa venue, qui va d'une discussion pour clarifier la situation à une sorte de duel à l'ancienne, dont ne réchappe qu'un des adversaires, demeure indécis, tout comme le moment où il aurait pris sa décision de parler à C______, du matin même à quelques heures avant de rencontrer la victime. Ces contradictions et changements d'arguments pour justifier son intervention constituent des indices forts que l'appelant ne s'est pas rendu à Genève le 29 juin 2011 parce qu'il avait été induit en erreur par d'éventuelles déclarations de sa compagne, ou de D______, le conduisant à croire que la famille courait un grand danger. Les témoignages de B______ et D______ suggèrent également que l'appelant n'avait pas une représentation de la réalité faussée par le récit que les deux femmes lui auraient fait. B______ a fermement nié avoir dit à son amant qu'elle avait fait une fausse couche et a affirmé qu'il savait qu'elle voulait maintenir une relation avec le père de ses enfants. Elle a, en audience de jugement, admis lui avoir fait part de violences, attisant probablement ainsi un peu l'animosité de son amant pour son mari, mais n'est pas revenue sur ces premiers propos. Rien dans le dossier n'indique que D______ ait pour sa part décrit quotidiennement des violences à l'appelant. En expliquant qu'elle devait l'informer des querelles de ses parents, mais aussi de leurs éventuelles réconciliations, D______ a en outre dévoilé sans le vouloir toute l'ambiguïté de la démarche de l'appelant, qui se faisait autant de souci pour la sécurité de la famille que pour la pérennité de son propre couple. Pour les motifs qui précèdent, les conditions de l'état de nécessité, respectivement de l'état de nécessité putatif, ne sont pas réunies. Il convient en conséquence de rejeter l'appel et de confirmer le jugement entrepris.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En l'espèce, la faute de l'appelant est très lourde. Il a prémédité son acte, a longuement attendu en pleine nuit sa victime, sans renoncer à son projet, et l'a exécutée de neuf balles, dont certaines dans le dos, ne lui laissant aucune chance. Il a privé quatre jeunes enfants de leur père. Comme les premiers juges, la CPAR retient que l'appelant se sentait responsable de B______, qu'il aimait et voulait protéger. Il n'était toutefois pas uniquement mû par son souhait de libérer B______ ou, comme il l'a annoncé plus tard dans la procédure, ses enfants, lorsqu'il a tué C______, sachant pertinemment que son aide n'était pas requise ou nécessaire. Il apparaît plutôt que l'appelant avait tout à craindre du futur déménagement de la famille, qui sonnait le glas de ses propres projets d'installation, et n'a pas hésité à s'en prendre au bien juridique le plus précieux pour favoriser ses propres plans. La qualification juridique d'assassinat n'a pas été retenue à défaut d'un mobile uniquement égoïste, mais la limite est proche. La responsabilité de l'appelant est entière à dire d'expert. Aucune circonstance atténuante n'est réalisée, ni d'ailleurs plaidée. L'appelant, qui éprouvait un amour profond pour B______ et ses enfants, ne semble pas avoir eu les mêmes préoccupations pour sa propre fille en agissant comme il l'a fait. Sa situation personnelle stable et ses responsabilités à l'égard des siens auraient pourtant pu et dû le détourner de commettre le pire. La collaboration a, à juste titre, été qualifiée de moyenne. L'appelant s'est comporté durant plus de dix jours comme s'il ne s'était rien passé. Non sans cynisme, il a endossé le rôle de l'ami soucieux du sort de la veuve et de ses enfants, multipliant les allers-retours entre U______ et Genève, pour apporter un soutien qui n'aurait pas été nécessaire sans son acte. L'enquête minutieuse et les preuves découlant de la téléphonie ont conduit à son arrestation, relativisant la portée de ses aveux. Sa prétendue amnésie a empêché de retrouver l'arme du crime. L'appelant a tout mis en œuvre pour écarter les soupçons de préméditation, malgré des témoignages accablants, et ses déclarations confuses ont rendu la reconstitution des événements plus difficile. La prise de conscience est partielle. L'appelant exprime des regrets et remords, sincères, mais il est manifeste qu'il persiste à se considérer comme un sauveur. L'appelant a des antécédents, qu'il convient de relativiser vu leur absence de spécificité. Le Tribunal criminel n'a méconnu aucun des éléments qui précèdent. La peine de 11 ans qu'il a arrêtée consacre une correcte application des critères de l'art. 47 CP, étant encore relevé que cette peine est largement en deçà du maximum de la sanction entrant en considération. Au vu de ce qui précède, le jugement entrepris sera entièrement confirmé.</w:t>
      </w:r>
    </w:p>
    <w:p>
      <w:r>
        <w:rPr>
          <w:b/>
        </w:rPr>
        <w:t>E. 4</w:t>
      </w:r>
    </w:p>
    <w:p>
      <w:r>
        <w:t>Le maintien en détention pour des motifs de sûreté d'A______ a été prononcé par ordonnance présidentielle du 15 décembre 2015.</w:t>
      </w:r>
    </w:p>
    <w:p>
      <w:r>
        <w:rPr>
          <w:b/>
        </w:rPr>
        <w:t>E. 5</w:t>
      </w:r>
    </w:p>
    <w:p>
      <w:r>
        <w:t>L'appelant, qui succombe, supportera les frais de la procédure envers l'Etat, qui comprennent un émolument de décision de CHF 4'000.- (art. 428 CPP et art. 14 du règlement fixant le tarif des frais en matière pénale du 22 décembre 2010 [RFTMP ; RS E 4 10.03]).</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6.3</w:t>
      </w:r>
    </w:p>
    <w:p>
      <w:r>
        <w:t>En l'occurrence, considéré dans sa globalité, l'état de frais produit par le défenseur d'office d'A______ paraît adéquat et conforme aux principes qui précèdent, de sorte qu'il n'est pas nécessaire de reprendre le détail des postes qui le composent. Il convient d'ajouter aux 16h00 d'activité du chef d'étude 6h30 correspondant à la durée des débats d'appel, y compris la lecture du dispositif. En conséquence, l'indemnité sera arrêtée à CHF 5'607.35, correspondant à 22h30 à CHF 200.-/heure, 1h30 à CHF 125.-/heure et 30 minutes à CHF 65.-/heure (indemnisation forfaitaire de 10% [CHF 472.-] vu l'ensemble de l'activité déployée au cours de la procédure et TVA à 8% [CHF 415.35] incluses). A ce total s'ajoutent les frais d'interprète, admis à concurrence de CHF 500.-, soit après déduction de la facture de CHF 320.- produite, celle-ci correspondant à des frais déjà indemnisés en première instance (visites des 24 et 27 février 2015). Le montant final de l'indemnité allouée à M e X______ s'élèvera ainsi à CHF 6'107.35.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