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P/9373/2015 vom 24. Juli 2015</w:t>
      </w:r>
    </w:p>
    <w:p>
      <w:r>
        <w:t>GE Cour de justice, 2015-07-24, FR</w:t>
      </w:r>
    </w:p>
    <w:p>
      <w:r>
        <w:rPr>
          <w:b/>
        </w:rPr>
        <w:t xml:space="preserve">Quelle: </w:t>
      </w:r>
      <w:r>
        <w:t>https://mcp.opencaselaw.ch/entscheid/ge_gerichte_P_9373_2015</w:t>
      </w:r>
    </w:p>
    <w:p>
      <w:r>
        <w:t>FR: GE_GERICHTE P/9373/2015 du 24 juillet 2015</w:t>
      </w:r>
    </w:p>
    <w:p>
      <w:r>
        <w:t>IT: GE_GERICHTE P/9373/2015 del 24 luglio 2015</w:t>
      </w:r>
    </w:p>
    <w:p>
      <w:pPr>
        <w:pStyle w:val="Heading2"/>
      </w:pPr>
      <w:r>
        <w:t>Regeste</w:t>
      </w:r>
    </w:p>
    <w:p>
      <w:r>
        <w:t>RÉVISION(DÉCISION); MOTIF DE RÉVISION; NE BIS IN IDEM; NOTIFICATION PAR VOIE OFFICIELLE | CPP.410; CPP.84</w:t>
      </w:r>
    </w:p>
    <w:p>
      <w:pPr>
        <w:pStyle w:val="Heading2"/>
      </w:pPr>
      <w:r>
        <w:t>Erwägungen</w:t>
      </w:r>
    </w:p>
    <w:p>
      <w:r>
        <w:rPr>
          <w:b/>
        </w:rPr>
        <w:t>E. 1.1</w:t>
      </w:r>
    </w:p>
    <w:p>
      <w:r>
        <w:t>La Chambre pénale d'appel et de révision est l'autorité compétente en matière de révision à compter du 1 er janvier 2011 (art. 21 al. 1 let. b CPP cum art. 130 al. 1 let. a de la loi sur l’organisation judiciaire du 26 septembre 2010 [LOJ ; E 2 05]).</w:t>
      </w:r>
    </w:p>
    <w:p>
      <w:r>
        <w:rPr>
          <w:b/>
        </w:rPr>
        <w:t>E. 1.2</w:t>
      </w:r>
    </w:p>
    <w:p>
      <w:r>
        <w:t>La demande de révision a été formée par-devant l’autorité compétente et selon la forme prévue par la loi (art. 411 al. 1 CPP).</w:t>
      </w:r>
    </w:p>
    <w:p>
      <w:r>
        <w:rPr>
          <w:b/>
        </w:rPr>
        <w:t>E. 1.3</w:t>
      </w:r>
    </w:p>
    <w:p>
      <w:r>
        <w:t>Selon l’art. 411 al. 2 CPP, les demandes de révision, visées à l'art. 410 al. 1 let. b et 2, doivent être déposées dans les 90 jours à compter de la date à laquelle la personne concernée a eu connaissance de la décision en cause. Dans les autres cas, elles ne sont soumises à aucun délai.</w:t>
      </w:r>
    </w:p>
    <w:p>
      <w:r>
        <w:rPr>
          <w:b/>
        </w:rPr>
        <w:t>E. 1.4</w:t>
      </w:r>
    </w:p>
    <w:p>
      <w:r>
        <w:t>La demande en révision de l'ordonnance pénale du Ministère public du 17 décembre 2012, formée le 6 mai 2015, est recevable au regard de ces dispositions.</w:t>
      </w:r>
    </w:p>
    <w:p>
      <w:r>
        <w:rPr>
          <w:b/>
        </w:rPr>
        <w:t>E. 2</w:t>
      </w:r>
    </w:p>
    <w:p>
      <w:r>
        <w:t>2.1.1. 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Cette disposition reprend la double exigence posée par l’art. 385 CP, selon laquelle les faits ou moyens de preuve invoqués doivent être nouveaux et sérieux (cf. Message relatif à l’unification du droit de la procédure pénale du 21 décembre 2005, FF 2006 1303 ad art. 417 [actuel art. 410 CPP]). Les faits ou moyens de preuve sont inconnus lorsque le juge n’en a pas eu connaissance au moment où il s’est prononcé, c’est-à-dire lorsqu’ils ne lui ont pas été soumis sous quelque forme que ce soit (ATF 137 IV 59 consid. 5.1.2 p. 66s). Les faits ou moyens de preuve sont sérieux lorsqu’ils sont propres à ébranler les constatations de fait sur lesquelles se fonde la condamnation et que l'état de fait ainsi modifié rend possible un jugement sensiblement plus favorable au condamné (ATF 130 IV 72 consid. 1 p. 73). Le fait que le recourant a eu connaissance des faits ou moyens de preuve au moment du jugement de condamnation n’importe pas (ATF 130 IV 72 consid. 2.2 p. 74 ; ATF 116 IV 353 consid. 3a p. 357 ; ATF 69 IV 134 consid. 4 p. 138). Unanime et non contestée dans la doctrine et la jurisprudence sous l’ancien droit, cette conception trouve sa confirmation dans l’énoncé légal de l’art. 410 CPP, qui parle de faits ou de moyens de preuve inconnus de l’autorité inférieure. Elle résulte en particulier du fait qu’en procédure pénale il incombe à l’accusation de prouver la culpabilité de l’auteur. 2.1.2. Une demande de révision d’une ordonnance pénale doit être qualifiée d’abusive lorsqu’elle repose sur des faits qui étaient connus du prévenu dès l’origine, que l’intéressé a tus sans motif digne de protection et qu’il aurait pu invoquer dans le cadre d’une procédure ordinaire diligentée sur opposition de sa part. En revanche, la révision d’une ordonnance pénale peut être envisagée à raison de faits ou de moyens de preuve importants que le prévenu ne connaissait pas au moment du prononcé de la décision considérée, qu’il était dans l’impossibilité de faire valoir à l’époque ou qu’il n’avait aucune raison d’avancer à ce moment. L’existence d’un abus de droit ne doit être admise qu’avec retenue (Arrêt du Tribunal fédéral 6B_864/2014 du 16 janvier 2015 consid. 1.3.3). 2.1.3. Comme cela résulte du texte même de l'art. 410 CPP, la voie de la révision n'est ouverte qu'à l'encontre d'une décision portant sur le fond d'une affaire et non pas contre celles qui sont d'ordre purement procédural (G. PIQUEREZ / A. MACALUSO, Procédure pénale suisse , 3 e éd., Zurich 2011, n. 2072). Les faits ou moyens de preuve visés par l'al. 1 de cette disposition doivent être susceptibles de corriger des erreurs de fait qui sont, par exemple, à l'origine du verdict de culpabilité et/ou du prononcé d'une peine ou d'une mesure. 2.2.1. Les communications écrites des autorités pénales sont en général notifiées par recommandé (art. 85 al. 2 CPP). Le prononcé est réputé notifié si son destinataire ne l'a pas retiré dans les sept jours à compter d'une tentative de remise infructueuse, à condition qu'il ait dû s'attendre à une telle remise (art. 85 al. 4 let. a CPP). Le destinataire doit s'attendre à la remise de plis officiels dès l'ouverture de la procédure et doit prendre ses dispositions pour contrôler régulièrement son courrier. C'est un devoir procédural qui vaut pour toute la durée de la procédure et qui impose aux parties de se comporter conformément aux règles de la bonne foi (ATF 130 III 396 consid. 1.2.3 et 1.3 p. 399 ; ACPR/47/2013 du 4 février 2013 ; A. KUHN / Y. JEANNERET (éds), Commentaire romand du code de procédure pénale suisse , Bâle 2011, n. 33 ad art. 85 ; J. PITTELOUD, Code de procédure pénale suisse : Commentaire à l'usage des praticiens , Zurich/St-Gall 2012, p. 132 n. 204 et les références citées). 2.2.2. Les art. 84 ss CPP régissent la forme des notifications. L'art. 88 al. 1 CPP prévoit que la notification a lieu dans la Feuille officielle désignée par le canton ou la Confédération : lorsque le lieu de séjour du destinataire est inconnu et n'a pas pu être déterminé en dépit des recherches qui peuvent raisonnablement être exigées (let. a) ; lorsqu'une notification est impossible ou ne serait possible que moyennant des démarches disproportionnées (let. b) ; lorsqu'une partie ou son conseil n'a pas désigné un domicile de notification en Suisse, alors qu'ils ont leur domicile, leur résidence habituelle ou leur siège à l'étranger (let. c). La publication d'un prononcé en application de l'art. 88 al. 1 let. c CPP est le corollaire de l'obligation pour les parties qui ont leur domicile à l'étranger de désigner un domicile de notification en Suisse (art. 87 al. 2 CPP). Selon la doctrine, cette obligation ne trouve pas application si des décisions peuvent être directement notifiées à l'étranger, en vertu d'accords internationaux (cf. N. SCHMID, Schweizerische Strafprozessordnung : Praxiskommentar , Zurich 2009, n. 5 ad art. 88 et n. 4 ad art. 87). 2.3.1. Au stade de l'examen des motifs de révision, la juridiction d'appel ne doit pas se livrer à la même analyse que celle qu'effectuerait la juridiction de jugement. Elle doit concrètement rechercher si les moyens invoqués sont objectivement crédibles ou non, selon le critère de la vraisemblance. C'est sur cette base qu'elle rejettera ou admettra la demande de révision (L. MOREILLON / A. PAREIN-REYMOND, Petit commentaire du CPP , Helbing Lichtenhahn éd., Bâle 2013, note 1 ad art. 413 CPP et références citées). 2.3.2. A teneur de l’art. 413 al. 2 CPP, si la juridiction d’appel constate que les motifs de révision sont fondés, elle annule partiellement ou entièrement la décision attaquée ; de plus elle renvoie la cause pour nouveau traitement et nouveau jugement à l'autorité qu'elle désigne (let. a) ou elle rend elle-même une nouvelle décision si l'état du dossier le permet (let. b). En cas de renvoi de la cause, la juridiction d'appel détermine à quel stade la procédure doit être reprise (al. 3).</w:t>
      </w:r>
    </w:p>
    <w:p>
      <w:r>
        <w:rPr>
          <w:b/>
        </w:rPr>
        <w:t>E. 4</w:t>
      </w:r>
    </w:p>
    <w:p>
      <w:r>
        <w:t>Dans la mesure où le demandeur en révision obtient gain de cause, les frais de la procédure seront laissés à charge de l'Etat (art. 428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