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P/9364/2014 vom 3. November 2015</w:t>
      </w:r>
    </w:p>
    <w:p>
      <w:r>
        <w:t>GE Cour de justice, 2015-11-03, FR</w:t>
      </w:r>
    </w:p>
    <w:p>
      <w:r>
        <w:rPr>
          <w:b/>
        </w:rPr>
        <w:t xml:space="preserve">Quelle: </w:t>
      </w:r>
      <w:r>
        <w:t>https://mcp.opencaselaw.ch/entscheid/ge_gerichte_P_9364_2014</w:t>
      </w:r>
    </w:p>
    <w:p>
      <w:r>
        <w:t>FR: GE_GERICHTE P/9364/2014 du 3 novembre 2015</w:t>
      </w:r>
    </w:p>
    <w:p>
      <w:r>
        <w:t>IT: GE_GERICHTE P/9364/2014 del 3 novembre 2015</w:t>
      </w:r>
    </w:p>
    <w:p>
      <w:pPr>
        <w:pStyle w:val="Heading2"/>
      </w:pPr>
      <w:r>
        <w:t>Regeste</w:t>
      </w:r>
    </w:p>
    <w:p>
      <w:r>
        <w:t>DISPOSITIONS PÉNALES DE LA LSTUP; COCAÏNE ; DISPOSITIONS PÉNALES DE LA LETR ; FIXATION DE LA PEINE ; PEINE COMPLÉMENTAIRE | LStup.19.1.2; LEtr.115.1.b; LEtr.115.1.c; CP.49.1; CP.49.2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2.1.2. Selon l'art. 19 al. 1 LStup, est puni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celui qui, publiquement, incite à la consommation de stupéfiants ou révèle des possibilités de s'en procurer ou d'en consommer (let. f) et celui qui prend des mesures aux fins de commettre une des infractions visées aux let. a à f (let. g). En vertu de l'art. 19 al. 2 let. a LStup, l'auteur sera puni d'une peine privative de liberté d'un an au moins, cette sanction pouvant être cumulée avec une peine pécuniaire, s'il sait ou ne peut ignorer que l'infraction peut directement ou indirectement mettre en danger la santé de nombreuses personnes. Selon la jurisprudence et la doctrine constantes, est déterminante pour l'application de la circonstance aggravante de l'art. 19 al. 2 let. a LStup la quantité de drogue pure mettant en danger la santé de nombreuses personnes (ATF 121 IV 193 consid. 2 b/aa p. 196 ; arrêt 6P.99/2003 du 9 décembre 2003 consid. 3.3.4). S'agissant de la cocaïne, le Tribunal fédéral retient le cas grave lorsque le trafic porte sur 18 grammes de drogue pure (ATF 138 IV 100 consid. 3.2 p. 103). Il en découle que la pureté de la drogue doit, chaque fois que cela est possible, être déterminée par les autorités de poursuite au moyen d'une expertise appropriée. Les stupéfiants mis en circulation ne peuvent souvent pas être confisqués, raison pour laquelle une analyse est d'emblée exclue (P. ALBRECHT, Die Strafbestimmungen des Betäubungsmittelgesetzes (Art. 19-28 BetmG) , 2 e éd., Berne 2007, § 219s ad art. 19 LStup). Dans un tel cas, le juge peut admettre que la drogue était d'une qualité moyenne et se référer au degré de pureté habituel sur le marché à l'époque et au lieu en question (CORBOZ, Les infractions en droit suisse , 3 e éd., Berne 2010, vol. II, n. 86 ad art. 19 LStup et références citées). Dans le trafic de rue, on retient un taux de pureté de 20% (arrêt du Tribunal fédéral 6B_632_2008 du 10 mars 2009). Il n'est pas nécessaire de déterminer le taux de pureté lorsque la quantité détenue ou trafiquée est telle que même un taux de pureté anormalement bas permet d'aboutir à une quantité de drogue pure supérieure à 18 grammes. 2.2.1. En l'espèce, l'appelant admet avoir stocké de la cocaïne dans sa chambre, pour le compte du dénommé "Ningo", en vue de sa revente. Il soutient toutefois que son trafic s'est limité à cette détention et conteste en particulier avoir remis, le 21 mai 2014, 40 grammes de cocaïne à "Ningo" ainsi que d'avoir, le 2 juillet 2014, avant son départ en vacances, remis 100 grammes de cocaïne à B______. 2.2.2. Il résulte des écoutes téléphoniques que le 21 mai 2014, B______ a contacté "Ningo" afin de s'approvisionner rapidement en cocaïne. Ce dernier a immédiatement téléphoné à A______, auprès duquel la drogue était stockée, pour l'informer qu'il allait passer chez lui pour prendre la marchandise. "Ningo" a ensuite appelé une inconnue pour lui dire qu'il avait pu écouler 40, ce qui confirme qu'il avait récupéré la drogue stockée chez A______ pour la revendre à B______, lequel a fini par admettre cette acquisition. La police a d'ailleurs vu B______ conduire "Ningo" en voiture devant le domicile de A______ et a assisté à un échange. Ces éléments établissent que c'est bien l'appelant qui a remis la cocaïne à "Ningo" et pas l'inverse (" tu m'amènes ça et on sort un moment "). C'est d'ailleurs parce que "Ningo" n'était pas en possession de la cocaïne ce jour-là et ne pouvait ainsi pas fournir B______, qui en avait fait la demande, que les deux hommes se sont rendus au domicile de l'appelant, où la drogue était stockée. Le jugement entrepris sera par conséquent confirmé en tant qu'il reconnaît A______ coupable de cette transaction. 2.2.3. En ce qui concerne la remise par l'appelant, le 2 juillet 2014, de 100 grammes de cocaïne à B______, la CPAR constate que si les écoutes actives établissent effectivement un rendez-vous entre les deux hommes ce jour-là, elles ne permettent en revanche pas de retenir qu'une transaction a eu lieu à cette occasion. Rien de tel n'a été observé par la police, qui surveillait les protagonistes de ce trafic, et cela ne ressort pas non plus des conversations téléphoniques intervenues le même jour avec les dénommés "Ningo" et "Chalan", dont on apprend uniquement que l'appelant, qui quittait Genève, ne voulait pas conserver la cocaïne chez lui et voulait la remettre à quelqu'un (un rendez-vous le soir à 21h00 y étant évoqué). La police n'a pas non plus retenu l'existence de cette transaction de l'analyse des écoutes actives à laquelle elle s'est livrée et la réalité de celle-ci repose en substance sur les seules déclarations de B______, qui a expliqué, pour la première fois devant les premiers juges, qu'il avait obtenu de l'appelant, le 2 juillet 2014, la cocaïne retrouvée en possession de C______ le 13 août 2014. Or, pour la CPAR, les déclarations de B______ à ce sujet ne revêtent pas une crédibilité suffisante pour asseoir un verdict de culpabilité, dès lors que ce prévenu a beaucoup varié tant au sujet de la provenance de la drogue remise à C______ – tantôt trouvée dans une poubelle tantôt acquise à un dénommé "Chico Barcelona" puis à l'appelant – que sur les raisons de son rendez-vous à proximité de Manor le 2 juillet 2014. En outre, cette dernière version tend à réduire son implication dans le trafic et peut ainsi avoir été fournie pour les besoins de sa cause. En effet, le fait de désigner l'appelant comme étant son fournisseur des 100 grammes qu'il avait de toute manière admis avoir achetés à quelqu'un d'autre, a été utilisé par B______ pour tenter de justifier le fait qu'il n'était pas censé recevoir, le soir du 2 juillet 2014, 200 grammes supplémentaires de cocaïne issus du stock de A______. Pour ces motifs, et même si l'appelant n'a pas fourni des explications très convaincantes pour justifier sa rencontre avec B______ le 2 juillet 2014, il devra être acquitté de ce chef d'accusation.</w:t>
      </w:r>
    </w:p>
    <w:p>
      <w:r>
        <w:rPr>
          <w:b/>
        </w:rPr>
        <w:t>E. 3</w:t>
      </w:r>
    </w:p>
    <w:p>
      <w:r>
        <w:t>ans. Dans la mesure où la peine prononcée ne peut pas être complémentaire à une peine pécuniaire (ATF 137 IV 57 consid. 4.3.1), le jugement entrepris sera modifié sur ce point également.</w:t>
      </w:r>
    </w:p>
    <w:p>
      <w:r>
        <w:rPr>
          <w:b/>
        </w:rPr>
        <w:t>E. 3.2</w:t>
      </w:r>
    </w:p>
    <w:p>
      <w:r>
        <w:t>Il convient d'admettre avec les premiers juges que le rôle de l'appelant dans le trafic est bien plus important que ce qu'il ne prétend. Il bénéficiait de la confiance des fournisseurs "Ningo" et "Chalan", qui avaient stocké la cocaïne chez lui, et son rôle était moins exposé que celui de B______. Il résulte en outre des écoutes que l'appelant avait droit à une part des bénéfices et qu'il négociait sa marge avec les fournisseurs. Il y a concours avec les infractions à la législation sur les étrangers admises. La quantité trafiquée, de 240 grammes de cocaïne au total, dépasse largement le cas grave, peu importe le degré de dilution de la drogue retenu. La collaboration à la procédure est mauvaise, l'appelant n'ayant admis que ce qu'il ne pouvait pas contester, soit la détention de la cocaïne retrouvée chez lui. Confronté aux écoutes, il a tenté de soutenir qu'il ne s'agissait pas de cocaïne mais de ventes d'objets de maroquinerie, nonobstant le contenu explicite de certaines conversations. Nourri, logé et rémunéré correctement pour son travail, rien dans sa situation personnelle n'explique les actes commis. Au vu de ces éléments, et compte tenu de l'acquittement partiel prononcé, la peine privative de liberté de 36 mois prononcée en première instance sera réduite à 30 mois. Le sursis partiel, dont les conditions sont d'ailleurs réalisées, lui étant acquis, la partie ferme sera fixée à 15 mois, le solde étant assorti du sursis durant</w:t>
      </w:r>
    </w:p>
    <w:p>
      <w:r>
        <w:rPr>
          <w:b/>
        </w:rPr>
        <w:t>E. 4</w:t>
      </w:r>
    </w:p>
    <w:p>
      <w:r>
        <w:t>L'appelant, qui succombe pour l'essentiel, supportera les 2/3 des frais de la procédure d'appel envers l'Etat, comprenant un émolument de CHF 2'000.- (art. 428 CPP).</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5.2.2.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5.2.4. Selon l'art. 17 RAJ, l'état de frais doit détailler, par rubriques, les activités donnant lieu à indemnisation, avec indication du temps consacré, et les justificatifs doivent être joints.</w:t>
      </w:r>
    </w:p>
    <w:p>
      <w:r>
        <w:rPr>
          <w:b/>
        </w:rPr>
        <w:t>E. 5.3</w:t>
      </w:r>
    </w:p>
    <w:p>
      <w:r>
        <w:t>L'activité exercée par M e X______ en appel est globalement en adéquation avec la nature, l'importance et la difficulté de la cause. Elle sera prise en compte dans son intégralité, sous réserve de la visite du 28 octobre 2014 facturée à double et qui ne sera admise qu'une fois, au tarif du collaborateur (-1h30 d'activité de stagiaire). Un forfait pour l'activité diverse de 20% sera, par ailleurs, alloué.</w:t>
      </w:r>
    </w:p>
    <w:p>
      <w:r>
        <w:rPr>
          <w:b/>
        </w:rPr>
        <w:t>E. 5.4</w:t>
      </w:r>
    </w:p>
    <w:p>
      <w:r>
        <w:t>En conclusion, l'indemnité sera arrêtée à CHF 772.50, correspondant à 5h00 d'activité de collaborateur au tarif de CHF 125.-/heure (CHF 625.-), 15 minutes d'activité de chef d'étude à CHF 200.-/heure (CHF 50.-) et 1h30 d'activité de stagiaire à CHF 65.-/heure (CHF 97.50), à laquelle il convient d'ajouter la majoration forfaitaire de 20% (CHF 154.50) et l'équivalent de la TVA au taux de 8% (CHF 74.15), pour un total de CHF 1'001.15.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