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P/9357/2021 vom 23. August 2022</w:t>
      </w:r>
    </w:p>
    <w:p>
      <w:r>
        <w:t>GE Cour de justice, 2022-08-23, FR</w:t>
      </w:r>
    </w:p>
    <w:p>
      <w:r>
        <w:rPr>
          <w:b/>
        </w:rPr>
        <w:t xml:space="preserve">Quelle: </w:t>
      </w:r>
      <w:r>
        <w:t>https://mcp.opencaselaw.ch/entscheid/ge_gerichte_P_9357_2021</w:t>
      </w:r>
    </w:p>
    <w:p>
      <w:r>
        <w:t>FR: GE_GERICHTE P/9357/2021 du 23 août 2022</w:t>
      </w:r>
    </w:p>
    <w:p>
      <w:r>
        <w:t>IT: GE_GERICHTE P/9357/2021 del 23 agosto 2022</w:t>
      </w:r>
    </w:p>
    <w:p>
      <w:pPr>
        <w:pStyle w:val="Heading2"/>
      </w:pPr>
      <w:r>
        <w:t>Regeste</w:t>
      </w:r>
    </w:p>
    <w:p>
      <w:r>
        <w:t>DROIT D'ÊTRE ENTENDU;PUNISSABILITÉ;LÉSION CORPORELLE GRAVE;LÉSION CORPORELLE PAR NÉGLIGENCE;INFRACTIONS CONTRE LA VIE ET L'INTÉGRITÉ CORPORELLE;INTENTION;PRESCRIPTION | Cst.29; CP.97; CP.98; CP.102; CP.122; CP.125; CPP.319</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reproche au Ministère public d'avoir commis un déni de justice.![endif]&gt;![if&gt;</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et 126 I 97 consid. 2b). Il y a violation de ce droit si l'autorité ne satisfait pas à son devoir minimum d'examiner les problèmes pertinents (ATF 141 V 557 consid. 3.2.1; ATF 129 I 232 consid. 3.2; ATF 126 I 97 consid. 2b et les références ; arrêt du Tribunal fédéral 6B_28/2011 du 7 avril 2011). L'autorité intimée n'a pas l'obligation d'exposer et de discuter tous les faits, moyens de preuve et griefs invoqués par les parties, mais elle peut au contraire se limiter à ceux qui n'apparaissent pas d'emblée dépourvus de pertinence (ATF 130 II 530 consid. 4.3; 126 I 97 consid. 2b). Une autorité se rend toutefois coupable d'un déni de justice formel prohibé par l'art. 29 al. 2 Cst. si elle omet de se prononcer sur des griefs qui présentent une certaine pertinence ou de prendre en considération des allégués et arguments importants pour la décision à prendre (ATF 138 V 125 consid. 2.1; 133 III 235 consid. 5.2; 126 I 97 consid. 2b; arrêt du Tribunal fédéral 1B_524/2012 du 15 novembre 2012 consid. 2.1).</w:t>
      </w:r>
    </w:p>
    <w:p>
      <w:r>
        <w:rPr>
          <w:b/>
        </w:rPr>
        <w:t>E. 2.2</w:t>
      </w:r>
    </w:p>
    <w:p>
      <w:r>
        <w:t>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2.3</w:t>
      </w:r>
    </w:p>
    <w:p>
      <w:r>
        <w:t>En l'occurrence, il est relevé que, tant dans ses ordonnances que dans ses observations dans le cadre de la procédure de recours, le Ministère public n'a pas évoqué la plainte déposée contre la D______ SA, ce qui est constitutif d'un déni de justice. Ce nonobstant, la recourante a, déjà au stade de sa plainte, identifié les auteurs des faits dénoncés. Il n'y a donc manifestement pas de place pour la responsabilité de la D______ SA, au sens de l'art. 102 CP, dont les conditions n'étaient de toute façon pas réunies, faute, pour les infractions visées par la recourante d'être énumérées dans cette disposition. Partant, ce grief sera rejeté.</w:t>
      </w:r>
    </w:p>
    <w:p>
      <w:r>
        <w:rPr>
          <w:b/>
        </w:rPr>
        <w:t>E. 3</w:t>
      </w:r>
    </w:p>
    <w:p>
      <w:r>
        <w:t>La recourante fait grief au Ministère public d'avoir classé sa plainte contre les Drs C______ et B______. ![endif]&gt;![if&gt;</w:t>
      </w:r>
    </w:p>
    <w:p>
      <w:r>
        <w:rPr>
          <w:b/>
        </w:rPr>
        <w:t>E. 3.1</w:t>
      </w:r>
    </w:p>
    <w:p>
      <w:r>
        <w:t>Aux termes de l'art. 319 al. 1 let. d CPP, le ministère public ordonne le classement de tout ou partie de la procédure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par exemple la prescription de l'action pénale (L. MOREILLON / A. PAREIN-REYMOND, Petit commentaire CPP , Bâle 2016, n. 17 ad art. 319).</w:t>
      </w:r>
    </w:p>
    <w:p>
      <w:r>
        <w:rPr>
          <w:b/>
        </w:rPr>
        <w:t>E. 3.2</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 L'infraction est intentionnelle, ce qui signifie que l'auteur doit adopter le comportement typique avec conscience et volonté (art. 12 al. 2 CP). Cette intention doit porter sur tous les éléments constitutifs de l'infraction, le dol éventuel – l'auteur doit avoir envisagé le résultat dommageable et s'en être accommodé – étant toutefois suffisant (ATF 119 IV 1 consid. 5a; ATF 103 IV 65 consid. I.2).</w:t>
      </w:r>
    </w:p>
    <w:p>
      <w:r>
        <w:rPr>
          <w:b/>
        </w:rPr>
        <w:t>E. 3.3</w:t>
      </w:r>
    </w:p>
    <w:p>
      <w:r>
        <w:t>L'art. 125 al. 1 CP punit d'une peine privative de liberté de trois ans au plus ou d'une peine pécuniaire, celui qui, par négligence, aura fait subir à une personne une atteinte à son intégrité corporelle ou à la santé.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3.4.1. Pour les infractions punissables d'une peine privative de liberté de trois ans – telles que les lésions corporelles par négligence –, le délai de prescription est de dix ans (art. 97 al. 1 let. c CP, dans sa teneur en vigueur depuis le 1er janvier 2014; cf. RO 2013 4417). Dans sa teneur en vigueur au moment des faits reprochés aux intimés et jusqu'au 31 décembre 2013, l'art. 97 al. 1 let. c aCP prévoyait un délai de prescription de sept ans. En vertu du principe de la lex mitior (cf. art. 2 al. 2 et 389 CP; ATF 134 IV 82 consid. 6.2; 129 IV 49 consid. 5.1), la prescription de l'action pénale la plus favorable aux intimés est applicable, à savoir sept ans. Aux termes de l'art. 97 al. 3 CP (inchangé), la prescription ne court plus si, avant son échéance, un jugement de première instance a été rendu. Par jugement, on entend habituellement une décision qui met fin au procès pénal en tranchant le bien-fondé de l'action publique par une décision de condamnation ou d'acquittement ou qui y met fin pour des motifs de procédure (L. MOREILLON / A. MACALUSO / N. QUELOZ / N. DONGOIS (éds), Commentaire romand, Code pénal I, art. 1-110 CP , 2 ème éd., Bâle 2021, n. 58 ad art. 97 3.4.2. Selon l'art. 98 let. a CP (inchangé), la prescription court dès le jour où l'auteur a exercé son activité coupable. La prescription ne court donc pas depuis le jour auquel se produit le résultat de l'activité coupable ou depuis la date de réalisation d'une condition objective. Il s'ensuit que des actes pénalement répréhensibles peuvent être atteints par la prescription avant qu'en survienne le résultat (ATF 134 IV 297 consid. 4.2 et les références citées). Le début de la prescription coïncide, en matière de lésions corporelles par négligence, avec le moment où l'auteur a agi contrairement à ses devoirs de prudence (ATF 122 IV 61 consid. 2a/aa; arrêts 6B_315/2016 du 1er novembre 2016 consid. 2.2; 6B_90/2014 du 29 janvier 2015 consid. 6.2).</w:t>
      </w:r>
    </w:p>
    <w:p>
      <w:r>
        <w:rPr>
          <w:b/>
        </w:rPr>
        <w:t>E. 3.5</w:t>
      </w:r>
    </w:p>
    <w:p>
      <w:r>
        <w:t>En l'espèce, la recourante allègue souffrir d'une lésion des nerfs génitofémoraux apparue à la suite de son opération du 18 mai 2011, qu'elle qualifie de lésions corporelles graves au sens de l'art. 122 CP. À considérer que l'intensité "grave" serait acquise, cette infraction exige l'intention des auteurs. Or, la recourante ne saurait raisonnablement soutenir que c'est intentionnellement que les prévenus lui auraient occasionné la lésion dénoncée. À cet égard, elle s'est contentée de mentionner dans le "concerne" de sa plainte "lésions corporelles graves par dol éventuel (art. 122 CP)" , sans autre explicitation. Ainsi, seul l'art. 125 CP peut entrer en ligne de compte. Or, l'action pénale est prescrite s'agissant des faits reprochés en lien avec l'opération du 18 mai 2011. En effet, le délai de sept ans sus-évoqué est arrivé à échéance au printemps 2018, sans qu'un jugement de première instance ne soit intervenu entre temps, les ordonnances de classement querellées ayant été rendues le 22 février 2022. La prescription étant acquise, il existe un empêchement de procéder définitif qui justifiait le classement, ce que les actes d'enquête proposés par la recourante ne saurait remettre en question.</w:t>
      </w:r>
    </w:p>
    <w:p>
      <w:r>
        <w:rPr>
          <w:b/>
        </w:rPr>
        <w:t>E. 4</w:t>
      </w:r>
    </w:p>
    <w:p>
      <w:r>
        <w:t>La Chambre de céans n'étant pas liée par les motifs invoqués par les parties (art. 391 al. 1 let. a CPP), les classements déférés seront donc confirmés, par substitution de motifs (arrêts du Tribunal fédéral 6B_1335/2015 du 23 septembre 2016 consid. 2.3 et 1B_137/2012 du 25 juillet 2012 consid. 4.3).![endif]&gt;![if&gt;</w:t>
      </w:r>
    </w:p>
    <w:p>
      <w:r>
        <w:rPr>
          <w:b/>
        </w:rPr>
        <w:t>E. 5</w:t>
      </w:r>
    </w:p>
    <w:p>
      <w:r>
        <w:t>La recourante, qui succombe, supportera les frais envers l'État, qui seront fixés en totalité à CHF 1'200.-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