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P/9287/2013 vom 14. März 2014</w:t>
      </w:r>
    </w:p>
    <w:p>
      <w:r>
        <w:t>GE Cour de justice, 2014-03-14, FR</w:t>
      </w:r>
    </w:p>
    <w:p>
      <w:r>
        <w:rPr>
          <w:b/>
        </w:rPr>
        <w:t xml:space="preserve">Quelle: </w:t>
      </w:r>
      <w:r>
        <w:t>https://mcp.opencaselaw.ch/entscheid/ge_gerichte_P_9287_2013</w:t>
      </w:r>
    </w:p>
    <w:p>
      <w:r>
        <w:t>FR: GE_GERICHTE P/9287/2013 du 14 mars 2014</w:t>
      </w:r>
    </w:p>
    <w:p>
      <w:r>
        <w:t>IT: GE_GERICHTE P/9287/2013 del 14 marzo 2014</w:t>
      </w:r>
    </w:p>
    <w:p>
      <w:pPr>
        <w:pStyle w:val="Heading2"/>
      </w:pPr>
      <w:r>
        <w:t>Regeste</w:t>
      </w:r>
    </w:p>
    <w:p>
      <w:r>
        <w:t>INFRACTIONS CONTRE L'INTÉGRITÉ SEXUELLE; CONTRAINTE SEXUELLE; TENTATIVE(DROIT PÉNAL); LÉSION CORPORELLE; VOIES DE FAIT | CP.189.1; CP.126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ss). 2.2.1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y a circonstance aggravante lorsque l'auteur agit avec cruauté (art. 189 al. 3 CP).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Les infractions en droit suisse , vol. I, 3 e éd., Berne 2010, n. 8 ad art. 189 CP). 2.2.2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w:t>
      </w:r>
    </w:p>
    <w:p>
      <w:r>
        <w:rPr>
          <w:b/>
        </w:rPr>
        <w:t>E. 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2.4.1 En l'espèce, s'agissant de la contrainte sexuelle, c'est à tort que le premier juge a retenu qu'il était impossible de déterminer la connotation et l'intensité des gestes dont s'est plainte l'intimée A______. Celle-ci a en effet déclaré de manière constante que l'appelant joint l'avait entravée dans sa liberté de mouvement, avait léché son visage, touché ses parties intimes par-dessus ses habits alors qu'elle se débattait, le frappant avec ses clés. Les violences subies sont en outre attestées par l'expertise et les photographies qui font état de dermabrasions fraîches au niveau du dos et de l'avant-bras gauche, lesquelles ne peuvent s'expliquer par une éventuelle chute de l'intimée. Les témoins ont, également de manière constante et non équivoque, dit avoir vu que l'homme avait sa main, par-dessus le jeans, sur le sexe de la femme, que celle-ci se débattait et hurlait en demandant de l'aide. Le caractère sexuel et contraignant des gestes de l'appelant joint est ainsi établi, malgré ses contestations peu crédibles. Celui-ci a en effet considérablement varié tant dans sa description de l'aide prétendument apportée à l'intimée que sur les circonstances de son arrestation. Les cris de la victime, relatés par les témoins venus à son secours, sont en outre incompatibles avec les explications données. L'ivresse marquée de la plaignante, dont l'appelant joint essaie de tirer argument, n'est pas pertinente, au regard des déclarations claires susmentionnées. Tout au plus permet-elle d'en expliquer les variations sur des éléments périphériques tels que le déroulement de la soirée, les raisons de sa fuite de l'hôpital ou sa réaction au moment où son internement involontaire a été décidé. Partant, l'appel du Ministère public sera admis, et l'appelant joint reconnu coupable de contrainte sexuelle (la tentative étant absorbée par la commission de l'infraction) et le jugement entrepris réformé en conséquence. 2.4.2 La gifle que dit avoir reçue le témoin B______ n'est pas attestée par les personnes présentes au moment des faits et aucun élément ne permet de relier les rougeurs et le gonflement de la joue constatés par le témoin C______ avec un éventuel coup donné par l'appelant joint. Ce dernier sera dès lors acquitté du chef de voies de fait et le jugement réformé en ce sens.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3.2</w:t>
      </w:r>
    </w:p>
    <w:p>
      <w:r>
        <w:t>La faute de l'appelant joint est lourde. Par ses actes, il s'en est pris à la libre détermination en matière sexuelle de la partie plaignante, intérêt auquel le législateur accorde une grande importance. Ses mobiles sont particulièrement égoïstes, relevant de la volonté d’assouvir ses pulsions sexuelles, au mépris de la volonté de sa victime. La collaboration à l'enquête a été mauvaise, l'appelant joint n'ayant cessé de se dérober face à ses responsabilités et de nier les faits. Il n'y a aucune prise de conscience ni empathie observables. Ses antécédents judiciaires sont mauvais. L'appelant joint persiste à vouloir résider, sans droit, sur le territoire suisse sans y être contraint et au mépris de l'ordre juridique suisse. Eu égard à l'ensemble des circonstances, le prononcé d'une peine privative de liberté de dix mois est équitable et tient compte de la reconnaissance de culpabilité du chef d'une infraction nettement plus grave que celle retenue par le premier juge et de l'acquittement secondaire du chef de voies de fait.</w:t>
      </w:r>
    </w:p>
    <w:p>
      <w:r>
        <w:rPr>
          <w:b/>
        </w:rPr>
        <w:t>E. 4</w:t>
      </w:r>
    </w:p>
    <w:p>
      <w:r>
        <w:t>4.1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4.2</w:t>
      </w:r>
    </w:p>
    <w:p>
      <w:r>
        <w:t>Les antécédents de l'appelant joint sont mauvais, et pour partie spécifiques, ce dernier ayant déjà été condamné pour une infraction à caractère sexuel. Sa situation administrative et personnelle est précaire. Il n'a pas su saisir l'opportunité offerte à l'occasion d'un précédent sursis. Ses projets d'avenir sont flous, l'appelant joint avouant n'avoir pas davantage la possibilité qu'auparavant de régulariser sa situation en quittant le territoire. Partant, son pronostic futur est manifestement défavorable et le sursis lui sera refusé.</w:t>
      </w:r>
    </w:p>
    <w:p>
      <w:r>
        <w:rPr>
          <w:b/>
        </w:rPr>
        <w:t>E. 5</w:t>
      </w:r>
    </w:p>
    <w:p>
      <w:r>
        <w:t>5.1 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Commentaire romand : Code de procédure pénale suisse , Bâle 2011, n. 27 ad art. 429).</w:t>
      </w:r>
    </w:p>
    <w:p>
      <w:r>
        <w:rPr>
          <w:b/>
        </w:rPr>
        <w:t>E. 5.2</w:t>
      </w:r>
    </w:p>
    <w:p>
      <w:r>
        <w:t>En l'espèce, et au vu des considérations qui précèdent, il n’y a pas lieu d'entrer en matière sur les conclusions en indemnisation présentées par l'appelant joint, dont la culpabilité a été aggravée.</w:t>
      </w:r>
    </w:p>
    <w:p>
      <w:r>
        <w:rPr>
          <w:b/>
        </w:rPr>
        <w:t>E. 6</w:t>
      </w:r>
    </w:p>
    <w:p>
      <w:r>
        <w:t>Les motifs ayant conduit le premier juge à prononcer, par ordonnance séparée, le maintien de l'appelant joint en détention pour des motifs de sûreté sont à l'évidence toujours d'actualité, ce que celui-ci ne conteste au demeurant pas, de sorte que la mesure sera reconduite (ATF 139 IV 277 consid. 2.1-2.3).</w:t>
      </w:r>
    </w:p>
    <w:p>
      <w:r>
        <w:rPr>
          <w:b/>
        </w:rPr>
        <w:t>E. 7</w:t>
      </w:r>
    </w:p>
    <w:p>
      <w:r>
        <w:t>7.1 Selon l'art. 428 al. 1 première phrase CPP, les frais de la procédure de recours ( Rechtsmittel )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w:t>
      </w:r>
    </w:p>
    <w:p>
      <w:r>
        <w:rPr>
          <w:b/>
        </w:rPr>
        <w:t>E. 7.2</w:t>
      </w:r>
    </w:p>
    <w:p>
      <w:r>
        <w:t>Malgré l'acquittement du chef de voies de fait, l'appelant joint succombe largement, étant reconnu coupable de contrainte sexuelle, infraction la plus grave parmi celles mentionnées dans l'acte d'accusation, et débouté de l'entier de ses conclusions en indemnisation. Il supportera donc les frais de la procédure envers l'État qui comprennent dans leur totalité un émolument de jugement de CHF 1'500.– (art. 428 CPP ;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