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P/9272/2021 vom 29. Mai 2024</w:t>
      </w:r>
    </w:p>
    <w:p>
      <w:r>
        <w:t>GE Cour de justice, 2024-05-29, FR</w:t>
      </w:r>
    </w:p>
    <w:p>
      <w:r>
        <w:rPr>
          <w:b/>
        </w:rPr>
        <w:t xml:space="preserve">Quelle: </w:t>
      </w:r>
      <w:r>
        <w:t>https://mcp.opencaselaw.ch/entscheid/ge_gerichte_P_9272_2021</w:t>
      </w:r>
    </w:p>
    <w:p>
      <w:r>
        <w:t>FR: GE_GERICHTE P/9272/2021 du 29 mai 2024</w:t>
      </w:r>
    </w:p>
    <w:p>
      <w:r>
        <w:t>IT: GE_GERICHTE P/9272/2021 del 29 maggio 2024</w:t>
      </w:r>
    </w:p>
    <w:p>
      <w:pPr>
        <w:pStyle w:val="Heading2"/>
      </w:pPr>
      <w:r>
        <w:t>Regeste</w:t>
      </w:r>
    </w:p>
    <w:p>
      <w:r>
        <w:t>DISPOSITIONS PÉNALES DE LA LSTUP | LStup.19; LStup.19; LStup.19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3 al. 1 CP, le Code pénal est applicable à quiconque commet un crime ou un délit en Suisse. Un crime ou un délit est réputé commis tant au lieu où l'auteur a agi ou aurait dû agir qu'au lieu où le résultat s'est produit (art. 8 al. 1 CP).</w:t>
      </w:r>
    </w:p>
    <w:p>
      <w:r>
        <w:rPr>
          <w:b/>
        </w:rPr>
        <w:t>E. 2.2</w:t>
      </w:r>
    </w:p>
    <w:p>
      <w:r>
        <w:t>Selon l'art. 19 al. 4 LStup, celui qui commet à l'étranger un acte punissable selon les al. 1 et 2 de cette même disposition est également punissable, s'il se trouve en Suisse et n'est pas extradé, pour autant que l'acte soit également punissable dans le pays où il a été commis. La législation de ce dernier est applicable si elle est plus favorable à l'auteur de l'acte. Cette disposition constitue une lex specialis qui exclut l'application des règles générales du code pénal (ATF 137 IV 33 consid. 2.1.3, 126 IV 255 consid. 4c p. 266 ; arrêt du Tribunal fédéral 6B_969/2010 du 31 mars 2011 consid. 2.1.1). Cette norme se rattache au principe de la compétence de remplacement qui peut se résumer pour l'essentiel à l'adage "aut dedere aut judicare" ("livrer ou juger"; ATF 116 IV 244 consid. 3b p. 248). Elle consacre une réglementation située entre l'universalité pure et la délégation de la poursuite instituée par l'art. 85 de la loi fédérale sur l'entraide internationale en matière pénale (EIMP), dont l'application est exclue lorsque les conditions de l'art. 19 ch. 4 LStup sont réalisées (art. 85 al. 3 EIMP). En règle générale, le juge suisse ne connaîtra pas des infractions commises à l'étranger sans s'être assuré que l'extradition – admissible a priori – ne sera pas requise (ATF 116 IV 244 ). Dans la mesure où il s'agit d'une compétence de remplacement, le juge suisse doit interpeller préalablement le for naturel, c'est-à-dire le juge du lieu de commission et le juge suisse n'est compétent que si le juge du lieu de commission renonce à demander l'extradition, ne l'obtient pas ou ne répond pas (S. GRODECKI / Y. JEANNERET, Petit commentaire LStup – dispositions pénales, 2022, n. 157 ad art. 19 ; CORBOZ, Les infractions en droit suisse, vol. II 2010, n. 131, p. 929). L'art. 19 al. 4 LStup n'exige pas que le juge suisse établisse précisément et séparément quels actes mentionné dans l'art. 19 al. 1 LStup ont été commis dans l'État étranger dont le nihil obstat a été obtenu. Si les comportements mentionnés par l'art. 19 al. 1 LStup sont érigés en infractions indépendantes, ils n'en constituent pas moins les stades successifs de la même activité délictuelle. On peut ainsi considérer que ces différents comportements forment, pour une opération donnée, un complexe de faits. Il suffit de déterminer à quel État le complexe de fait peut-être rattaché (S. GRODECKI / Y. JEANNERET, op. cit., n. 159 ad art. 19). Pour déterminer si l'acte est punissable dans le pays où il a été commis et, cas échéant, si la législation de ce dernier elle est plus favorable à l'auteur, le droit étranger doit être véritablement établi préalablement à une condamnation, par exemple grâce à un avis de droit de l'institut suisse de droit comparé (S. GRODECKI / Y. JEANNERET, op. cit., n. 160 ad art. 19). L’art. 19 al. 4 LStup exige que l’auteur se trouve en Suisse. Il importe à cet égard peu qu’il s’y trouve de son plein gré ou soit extradé à la Suisse, et qu’il soit détenu ou non (ALBRECHT, Die Strafbestimmungen des Betäubungsmittelgesetzes, 3 e édition, Berne 2016, n. 289 ad art. 19 LStup ; voir aussi l’arrêt du Tribunal fédéral 6B_969/2010 susmentionné, qui concerne précisément le cas d’un prévenu extradé à la Suisse). 2.3.1. La CPAR a retenu, dans son arrêt du 10 février 2023 relatif au comparse de l’appelant, que la drogue était bien destinée à la Suisse. Il n’y a en l’espèce aucune raison de statuer différemment. En effet, ainsi que cela ressort de l’arrêt AARP/59/2023 , ledit comparse a agi principalement depuis Genève, où il vivait et a vendu de la cocaïne au détail ; il se servait d’un raccordement suisse pour ses contacts avec la mule, laquelle a initialement déclaré qu’elle devait livrer la drogue à Genève. Il ne fait ainsi pas de doute que la cocaïne était destinée au marché genevois, où le commanditaire entendait la revendre. Il n’allait certainement pas prendre le risque de faire lui-même passer la frontière franco-suisse à la marchandise. Au surplus, même s’il fallait retenir la seconde version de la mule, qui a déclaré devoir livrer la cocaïne à H______ [France] – ce que la Cour ne retient pas – la destination finale de la cocaïne était de toute façon la métropole genevoise, centre du trafic du commanditaire. La compétence ratione loci des autorités suisses est donnée. 2.3.2. L’appelant conteste l’application de l’art. 19 al. 4 LStup au motif qu’il a été extradé à la Suisse et ne s’y trouve ainsi pas librement. Or, il découle de la nature même de cette disposition, qui vise à permettre la poursuite en Suisse d’infractions commises depuis l’étranger mais à destination de notre pays, que l’extradition de l’auteur à la Suisse doit être possible ; à défaut d’une telle possibilité, la Suisse ne pourrait exercer sa compétence que si et lorsque l’auteur se rend en Suisse, soit de façon purement aléatoire et sans aucune maîtrise des autorités. 2.3.3. L’appelant conteste la compétence des autorités suisses, motif tiré de l’absence de nihil obstat des autorités françaises. Or, il n’a pas agi en France, et c’est par hasard que la drogue qu’il a remise à la mule a été saisie dans ce pays, alors qu’elle transitait à destination de la Suisse. Dans le contexte d’un trafic international, l’art. 19 al. 4 LStup ne fonde aucune compétence concurrente de tous les pays traversés par la drogue remise dans un pays et envoyée à destination de la Suisse, mais uniquement du ou des pays dans lequel le prévenu concerné a agi. Cette disposition régit uniquement la compétence des autorités suisses, et leur prescrit de s’assurer de la punissabilité des actes poursuivis dans le pays où ils ont été commis. Le raisonnement de l’appelant confine d’ailleurs à l’absurde, dans la mesure où il suffirait de faire traverser un pays dans lequel le trafic de stupéfiants ne serait par hypothèse pas ou moins sanctionné pour « dépénaliser » toute infraction. Au surplus, s’il fallait retenir une compétence des autorités françaises sur la base de l’arrestation de la mule dans leur pays, celles-ci ont manifesté, dans le cadre de la procédure P/22161/2019, dirigée contre le comparse de l’appelant, qu’elles n’entendaient pas faire valoir leur compétence à l’égard des autres protagonistes du trafic. Le MP pouvait à raison inférer de l’absence de volonté française de poursuivre le destinataire de la drogue, une renonciation à poursuivre également son fournisseur. 2.3.4. L’appelant a été extradé conformément aux dispositions de l’EIMP et de la Convention européenne d'entraide judiciaire (CEEJ), dans le but d’être poursuivi en Suisse pour les faits décrits dans l’acte d’accusation. Il peut donc y être jugé pour ces faits.</w:t>
      </w:r>
    </w:p>
    <w:p>
      <w:r>
        <w:rPr>
          <w:b/>
        </w:rPr>
        <w:t>E. 3</w:t>
      </w:r>
    </w:p>
    <w:p>
      <w:r>
        <w:t>L’appelant a finalement reconnu à l’issue de l’administration des preuves en appel les faits reprochés et ne conteste, à raison, plus sa culpabilité, qui a été établie par le TCO et ressort au surplus clairement de la procédure. Comme l’ont retenu les premiers juges, seule la quantité saisie de 1,1 kg de cocaïne, d’un taux de pureté de 40 %, est retenue à la charge de l’appelant, les faits constitutifs d’actes préparatoires décrits dans l’acte d’accusation étant absorbés par les actes concrètement effectués.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En l'espèce, la faute de l'appelant est très lourde. Alors qu’il avait fait l’objet d’une première condamnation pour infraction à la loi fédérale sur les stupéfiants et se trouvait encore dans le délai d’épreuve du sursis, il n’a pas hésité à prendre des dispositions pour envoyer plus d’un kilo de cocaïne dans notre pays. Son mobile est égoïste et réside exclusivement dans l’appât du gain. Les explications fournies aux débats d’appel, faisant état d’un gain de seulement EUR 300.-, sont de circonstance et dépourvues de toute crédibilité. L’appelant avait une position de fournisseur, il conseillait son neveu au sujet de la qualité de la drogue et échangeait librement avec lui sur les déplacements de la mule. Il avait ainsi un rôle crucial dans le trafic et une position élevée. Il a agi sans aucun égard pour le fléau que représente le trafic de stupéfiants pour la santé des toxicomanes. Sa collaboration à la procédure a été exécrable et sa prise de conscience est nulle. Il a nié les faits, s’enferrant dans ses dénégations nonobstant les nombreux éléments objectifs, les liens établis par les écoutes téléphoniques et les investigations policières et du MP. Les explications données sur les raisons de son mensonge sont aussi aberrantes que celles données à la dernière minute sur son implication. Il n’a jamais assumé les faits, se cachant au contraire derrière son rôle de père pour dénoncer dans une condamnation hypocrite les dangers du trafic de stupéfiants. Sa situation personnelle ne permet au demeurant pas de comprendre, encore moins de justifier, ses actes. Au moment des faits, il bénéficiait selon ses dires de revenus réguliers, confortables au vu de son pays de résidence. Rien ne justifiait, sinon l’appât du gain facile et le sentiment d’impunité lié au fait qu’il servait uniquement d’intermédiaire, se servant de la mule et de son neveu, qu’il s’implique dans un trafic international de cocaïne d’une telle envergure. Ses comparses ont d’ailleurs été condamnés à des peines supérieure à celle prononcée par les premiers juges. À raison, l’appelant ne conteste pas le genre de peine. Au vu de ses antécédents, de la gravité de l’infraction et de sa situation personnelle, seule une peine privative de liberté ferme entre en ligne de compte, les conditions du sursis n’étant pas remplies. Compte tenu de ses antécédents, de son attitude et de sa situation personnelle, la peine prononcée par les premiers juges apparaît adéquate, voire clémente. Elle sera dès lors confirmée.</w:t>
      </w:r>
    </w:p>
    <w:p>
      <w:r>
        <w:rPr>
          <w:b/>
        </w:rPr>
        <w:t>E. 5</w:t>
      </w:r>
    </w:p>
    <w:p>
      <w:r>
        <w:t>5.1. L'art. 66a al. 1 let. o CP prévoit l’expulsion obligatoire de l’étranger ayant commis une infraction grave à la LStup.</w:t>
      </w:r>
    </w:p>
    <w:p>
      <w:r>
        <w:rPr>
          <w:b/>
        </w:rPr>
        <w:t>E. 5.2</w:t>
      </w:r>
    </w:p>
    <w:p>
      <w:r>
        <w:t>L’appelant n’émet à raison aucune critique sur l’expulsion prononcée par les premiers juges. En l’absence de tout lien avec la Suisse, l’appelant n’a aucune raison de s’opposer à l’expulsion prononcée, qui sera confirmée, dans son principe comme dans sa durée.</w:t>
      </w:r>
    </w:p>
    <w:p>
      <w:r>
        <w:rPr>
          <w:b/>
        </w:rPr>
        <w:t>E. 5.3</w:t>
      </w:r>
    </w:p>
    <w:p>
      <w:r>
        <w:t>Il n'y a pas lieu d'étendre la mesure d'expulsion prononcée à l'ensemble de l'espace Schengen, le prévenu étant ressortissant d’un État membre.</w:t>
      </w:r>
    </w:p>
    <w:p>
      <w:r>
        <w:rPr>
          <w:b/>
        </w:rPr>
        <w:t>E. 6</w:t>
      </w:r>
    </w:p>
    <w:p>
      <w:r>
        <w:t>Les motifs ayant conduit les premiers juges à prononcer, par ordonnance séparée du 11 décembre 2023,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l'État (art. 428 CPP). Par voie de conséquence, il n’y a pas lieu à une quelconque indemnisation.</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w:t>
      </w:r>
    </w:p>
    <w:p>
      <w:r>
        <w:rPr>
          <w:b/>
        </w:rPr>
        <w:t>E. 8.3</w:t>
      </w:r>
    </w:p>
    <w:p>
      <w:r>
        <w:t>En l'occurrence, le temps consacré à l’étude du dossier au moment de la notification du jugement du TCO sera écarté, dans la mesure où, compte tenu notamment de la position de l’appelant jusqu’aux débats d’appel, la rédaction de la déclaration d’appel (laquelle n’a pas à être motivée), qui reprenait les conclusions développées devant les premiers juges, ne nécessitait aucune étude approfondie. Par ailleurs, l’activité d’étude du dossier, de travail sur dossier et de préparation des débats, totalisant onze heures, sera ramenée à six heures, suffisantes pour un dossier connu pour avoir été plaidé récemment en première instance, d’un volume restreint et ne présentant pas une complexité particulière, consistant en un seul état de faits bien circonscrit. La durée des débats d’appel sera indemnisée en totalité, pauses comprises, compte tenu du résultat de la procédure probatoire qui nécessitait une préparation particulière de la défense. En revanche, il n’y a pas lieu d’allouer une conférence postérieure à la notification du présent jugement, l’appelant ayant pu, à deux reprises, s’entretenir avec son conseil pendant les suspensions des débats d’appel. Un seul déplacement sera alloué pour les débats d’appel. Il n’y a pas lieu d’allouer un déplacement pour venir chercher la copie du dossier, opération purement administrative, les conseils pouvant au surplus requérir l’envoi des copies plutôt que le dépôt au greffe ou dans la case. En conclusion, la rémunération sera arrêtée à CHF 3'818.65 correspondant à 20h30 d'activité au tarif de CHF 150.-/heure plus la majoration forfaitaire de 10%, deux vacations et l'équivalent de la TVA au taux de 8.1% en CHF 286.15.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