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P/9249/2010 vom 3. März 2014</w:t>
      </w:r>
    </w:p>
    <w:p>
      <w:r>
        <w:t>GE Cour de justice, 2014-03-03, FR</w:t>
      </w:r>
    </w:p>
    <w:p>
      <w:r>
        <w:rPr>
          <w:b/>
        </w:rPr>
        <w:t xml:space="preserve">Quelle: </w:t>
      </w:r>
      <w:r>
        <w:t>https://mcp.opencaselaw.ch/entscheid/ge_gerichte_P_9249_2010</w:t>
      </w:r>
    </w:p>
    <w:p>
      <w:r>
        <w:t>FR: GE_GERICHTE P/9249/2010 du 3 mars 2014</w:t>
      </w:r>
    </w:p>
    <w:p>
      <w:r>
        <w:t>IT: GE_GERICHTE P/9249/2010 del 3 marzo 2014</w:t>
      </w:r>
    </w:p>
    <w:p>
      <w:pPr>
        <w:pStyle w:val="Heading2"/>
      </w:pPr>
      <w:r>
        <w:t>Regeste</w:t>
      </w:r>
    </w:p>
    <w:p>
      <w:r>
        <w:t>EXPERTISE; TITRE(DOCUMENT); FAUX INTELLECTUEL DANS LES TITRES | CP.110.4; CP.251; CP.47; CP.49; CPP.189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L'appelante demande préalablement la réalisation d'une contre-expertise comme cela ressort des courriers des 23 octobre et 25 novembre 2013. 2.1.1 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 Les réquisitions de preuves devant la juridiction d’appel doivent être formulées dans la déclaration d’appel (art. 399 al. 3 let. c CPP ; M. NIGGLI / M. HEER / H. WIPRÄCHTIGER, Schweizerische Strafprozessordnung / Schweizerische Jugendstrafprozessordnung , Basler Kommentar StPO/JStPO, Bâle 2011, n. 4 ad art. 399), une dérogation à cette règle devant être admise lorsque l’appelant établit qu’il n’était pas en mesure de formuler la réquisition de preuves lors de l’établissement dudit acte, ou lorsque celle-ci porte sur un fait manifestement pertinent, la tardiveté de la démarche pouvant, cas échéant, être sanctionnée au stade de la répartition des frais de la procédure d'appel. 2.1.2 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l'exactitude de l'expertise est mise en doute (let. c).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"raisons sérieuses de douter du bien-fondé" de la première expertise ; il n'existait pas de droit à une pluralité d'expertises ( OCA/37/2002 du 7 février 2002 consid. 4 ; OCA/28/2002 du 30 janvier 2002 consid. 2 ; OCA/36/2000 du 9 février 2000 ; G. PIQUEREZ, Procédure pénale suisse , 2e éd., 2007, p. 421 n. 625/626 ; HARARI / ROTH / STRÄULI, Chronique de procédure pénale genevoise 1986-1989 , SJ 1990 p. 448 ; DINICHERT / BERTOSSA / GAILLARD, Procédure pénale genevoise ,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 ACPR/196/2012 du 15 mai 2012 ; G. PIQUEREZ, ibidem ).</w:t>
      </w:r>
    </w:p>
    <w:p>
      <w:r>
        <w:rPr>
          <w:b/>
        </w:rPr>
        <w:t>E. 2.2</w:t>
      </w:r>
    </w:p>
    <w:p>
      <w:r>
        <w:t>En l'occurrence, il n'existe aucune raison sérieuse pour considérer que l'expertise judiciaire du 29 janvier 2013 est imprécise ou incomplète, sur des faits pertinents. Les constatations factuelles qu'elle contient sont exactes et complètes. Les conclusions auxquelles parvient l'expert sont claires et précises, bien que nuancées. L'appelante ne fait d'ailleurs valoir aucun argument concret à l'appui de sa demande, se limitant à critiquer les conclusions de l'expert, dans la mesure où elles ne servent pas sa cause. Ainsi, outre que la réquisition de preuve de l'appelante est tardive, elle n'est pas fondée et doit être rejetée.</w:t>
      </w:r>
    </w:p>
    <w:p>
      <w:r>
        <w:rPr>
          <w:b/>
        </w:rPr>
        <w:t>E. 3</w:t>
      </w:r>
    </w:p>
    <w:p>
      <w:r>
        <w:t>L’appelante conclut à son acquittement du chef de faux dans les titres (art. 251 ch. 1 CP). 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3.1.3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6B_562/2010 du 28 octobre 2010 consid. 2.1.2 et 1P. 641/2000 du 24 avril 2001, consid. 3; arrêt de la Cour européenne des droits de l'homme Murray c. Royaume-Uni du 8 février 1996, Recueil CourEDH 1996-I p. 30, ch. 47). 3.2.1 Selon l'art. 110 ch. 4 CP, sont des titres tous les écrits destinés et propres à prouver un fait ayant une portée juridique et tous les signes destinés à prouver un tel fait. L'enregistrement sur des supports de données et sur des supports-images est assimilé à un écrit s'il a la même destination. 3.2.2 L’art. 251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(ATF 132 IV 57 consid. 5.1.1 p. 60). A titre d’exemple, l’on peut mentionner le cas de l’auteur qui signe le titre du nom d’autrui pour faire croire faussement qu’il émane de cette personne (ATF 118 IV 254 consid. 4 p. 259), une signature usurpée n’étant du reste pas nécessaire, puisqu’il suffit que le titre fasse apparaître un faux auteur ou la signature d’une autre personne qui n’a nullement approuvé le contenu du texte (B. CORBOZ, Les infractions en droit suisse , 3 e édition, Berne 2010, n. 57 et n. 59 ad art. 251 CP). Le faux intellectuel vise, quant à lui, un titre qui émane de son auteur apparent, mais qui est mensonger dans la mesure où son contenu ne correspond pas à la réalité (ATF 132 IV 12 consid. 8.1 p. 14s). Dans ce dernier cas, le document en question doit avoir une valeur probante plus grande que dans l’hypothèse d’un faux matériel, sa crédibilité devant être accrue et son destinataire devant pouvoir s’y fier raisonnablement (ATF 129 IV 130 consid. 2.1 p. 134). Lorsqu’il y a création d’un titre faux, l’acte est punissable sans qu’il soit nécessaire de se demander encore s’il y a un faux intellectuel (ATF 123 IV 17 consid. 2e p. 21 ; B. CORBOZ, op. cit. ,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 3.3.1 En l'espèce, la "déclaration sur l'honneur" du 14 août 2004 et la "reconnaissance de dette" du 10 juin 2006 constituent des titres au sens des art. 110 ch. 4 et 251 CP, dans la mesure où ces documents tendent à prouver l’existence d'un engagement de A______, dont découlerait, en faveur de l’appelante, le versement d'une contribution d'entretien de CHF 2'000.– au moins ainsi que le remboursement des objets prétendument cassés. Ces documents sont dès lors propres et destinés à prouver cette volonté, l’appelante les ayant du reste utilisés à cette fin, les produisant à l’appui de la procédure de divorce. 3.3.2 Il existe un faisceau d'indices convergents permettant de retenir que l'appelante a procédé à un faux dans les titres au sens de l'art. 251 CP. En premier lieu, la partie plaignante est restée constante dans ses déclarations, y compris en audience de confrontation devant le Tribunal de police. Elle a toujours expliqué qu'elle n'avait jamais signé les documents litigieux mais que l'appelante lui avait soumis des feuilles blanches pour signature. Ensuite, l'expertise graphologique vient renforcer lesdites déclarations. En effet, il en ressort qu'il est vraisemblable que les signatures apposées sur les deux documents l'ont été sur plusieurs feuilles en blanc et à la même époque. Cela résulte d'abord du fait que les signatures ont été apposées dans la même zone, particularité souvent rencontrée lorsque plusieurs feuilles sont signées en blanc, les unes à la suite des autres. L'utilisation d'un "gel pen" à deux ans d'intervalle a ensuite été qualifiée d'étonnante, la durée de vie d'un tel objet étant limitée. Il fallait donc en déduire qu'il était probable que les signatures avaient été apposées à la même date. La mise en page du texte, différente des options par défaut, laissait également penser que le texte avait été apposé après les signatures, et modifié en sorte de ne pas être trop proche de celles-ci. A cela s'ajoute le fait que le texte de la "déclaration sur l'honneur" comporte un anachronisme, ce qui démontre qu'il a été établi postérieurement à la date indiquée. En effet, il y est mentionné que dès l'âge de 65 ans, A______ bénéficiera de ressources plus importantes, notamment en raison du versement d'une rente de son assurance-vie, qui, selon les propositions demandées dans le cadre du pacte successoral, avoisinerait les CHF 6'000.–. Or, il ressort de l'offre pour une rente vie entière différée de E______, produite par l'appelante, que la proposition a été établie le 16 août 2006, soit deux ans après la date de la "déclaration sur l'honneur". Le rapprochement de ces éléments permet donc de mettre en évidence que, quand bien même elle a signé les documents litigieux, la partie plaignante n’en est pas l’auteur. Ceux-ci ont été établis postérieurement, sur des feuilles signées en blanc, sans qu'elle n'était en mesure d’adhérer à leur contenu. Il s'agit par conséquent de faux matériels. Au vu du contenu des pièces litigieuses, qui prévoient des prestations financières en faveur de l'appelante, seule cette dernière peut en être l'auteur. L’appelante a agi intentionnellement, sachant pertinemment que l'intimé n’avait pas la moindre idée de la portée de ces documents qu’il aurait refusé de signer autrement. Le dessein spécial doit également être admis sous la forme d’un avantage illicite, dans la mesure où l’établissement de ces documents devait permettre à l’appelante d'obtenir illicitement des prestations financières de la part de l'intimé dans le cadre de la procédure de divorce. Au vu de ce qui précède, le jugement querellé sera confirmé en tant qu’il reconnaît l’appelante coupable de faux dans les titres (art. 251 CP).</w:t>
      </w:r>
    </w:p>
    <w:p>
      <w:r>
        <w:rPr>
          <w:b/>
        </w:rPr>
        <w:t>E. 4</w:t>
      </w:r>
    </w:p>
    <w:p>
      <w:r>
        <w:t>L'appelante conclut à son acquittement des chefs de non restitution de permis ou de plaques (art. 97 ch. 1 al. 2 aLCR) et de conduite d'un véhicule non couvert par l'assurance responsabilité (art. 96 ch. 2 al. 1 et 2 aLCR).</w:t>
      </w:r>
    </w:p>
    <w:p>
      <w:r>
        <w:rPr>
          <w:b/>
        </w:rPr>
        <w:t>E. 4.1</w:t>
      </w:r>
    </w:p>
    <w:p>
      <w:r>
        <w:t>A teneurde l'art. 96 ch. 2 al. 1 aLCR, celui qui aura conduit un véhicule automobile en sachant qu'il n'était pas couvert par l'assurance-responsabilité civile prescrite ou qui aurait dû le savoir s'il avait prêté toute l'attention commandée par les circonstances, sera puni d'une peine privative de liberté de trois ans au plus ou d'une peine pécuniaire. La peine privative de liberté sera cumulée avec une peine pécuniaire. L'art. 96 ch. 2 al. 2 prévoit que, dans les cas de peu de gravité, l'auteur sera puni d'une peine pécuniaire. Aux termes de l'art. 97 ch. 1 al. 2 aLCR, celui qui, malgré une sommation de l'autorité, n'aura pas restitué des permis ou des plaques de contrôle qui n'étaient plus valables ou avaient fait l'objet d'une décision de retrait sera puni d'une peine privative de liberté de trois ans au plus ou d'une peine pécuniaire.</w:t>
      </w:r>
    </w:p>
    <w:p>
      <w:r>
        <w:rPr>
          <w:b/>
        </w:rPr>
        <w:t>E. 4.2</w:t>
      </w:r>
    </w:p>
    <w:p>
      <w:r>
        <w:t>En l'espèce, il est établi – et au demeurant admis – que l'appelante s'est rendue, le 30 décembre 2011, au poste de police de la Servette au volant d'un véhicule immatriculé GE ______36, muni de plaques d'immatriculation invalidées depuis le 19 mai 2008 et dépourvu d'assurance responsabilité civile. Contrairement à ce que semble invoquer l'appelante, il suffit de conduire une seule fois un véhicule dépourvu d'assurance responsabilité civile et dont les plaques d'immatriculation ont été invalidées pour que les infractions réprimées par les art. 96 ch. 2 al. 1 et 2 et 97 ch. 1 al. 2 aLCR soient réalisées. Cela étant, il ressort des pièces du dossier que l'appelante a conduit plus d'une fois dans les conditions précitées. En effet, selon la déclaration du garage H______du 11 avril 2012, produite par l'appelante, le véhicule était stationné dans ce garage jusqu'en automne 2011. A cette époque, soit postérieurement à l'invalidation de la plaque de contrôle, il a été récupéré et a, à l'évidence, été conduit de Grèce en Suisse alors que la plaque de contrôle était toujours invalidée et qu'il était toujours dépourvu d'assurance responsabilité civile. Il est par conséquent établi que l'appelante a conduit ce véhicule à plusieurs reprises en violation de l'aLCR. Quantaux déclarations de l'appelante à la police du 5 novembre 2010, elles comportent indiscutablement une erreur s'agissant des véhicules. En effet, il ressort de l'attestation établie par l'Office cantonal des automobiles et de la navigation le 12 avril 2012, que les plaques de contrôles GE ______25 avaient été déposées par le garage V______ le 7 octobre 2010, soit antérieurement aux déclarations litigieuses précitées. Or, ces plaques étaient attribuées à la T______, ce qui signifie que c'est bien la T______ – et non le minibus O______ – qui se trouvait à Genève. Par conséquent, au vu de ce qui précède, c'est à juste titre que le Tribunal de police a reconnu l'appelante coupable de conduite d'un véhicule non couvert par l'assurance responsabilité civile au sens de l'art. 96 ch. 2 al. 1 et 2 aLCR et de non restitution de permis ou de plaques au sens de l'art. 97 ch. 1 al. 2 aLCR.</w:t>
      </w:r>
    </w:p>
    <w:p>
      <w:r>
        <w:rPr>
          <w:b/>
        </w:rPr>
        <w:t>E. 5</w:t>
      </w:r>
    </w:p>
    <w:p>
      <w:r>
        <w:t>5.1.1 L'appelante a uniquement requis la Cour de l’acquitter, attaquant le jugement dans son ensemble sans se déterminer de manière expresse quant à la quotité de la peine qui lui avait été infligée. Elle n’a pas pris de conclusions subsidiaires au cas où sa culpabilité serait confirmée, même partiellement. Dans un tel cas, la Cour dispose d'un plein pouvoir d'examen sur l'entier du jugement et doit par conséquent examiner d'office la quotité de la peine (arrêt du Tribunal fédéral 6B_547/2012 du 26 mars 2013 consid. 3.3). 5.1.2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L'infraction de faux dans les titres (art. 251 CP) est passible d'une peine privative de liberté de cinq ans au plus ou d'une peine pécuniaire. Quant à la conduite d'un véhicule non couvert par l'assurance responsabilité (art. 96 ch. 2 al, 1 et 2 aLCR), elle est punie d'une amende. Enfin, la non-restitution de permis ou de plaques (art. 97 ch. 1 al. 2 aLCR) est passible d'une peine privative de liberté de trois ans au plus ou d'une peine pécuniaire. 5.1.4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5.2</w:t>
      </w:r>
    </w:p>
    <w:p>
      <w:r>
        <w:t>En l’espèce, la faute de l’appelante est lourde. Dans le but de s'enrichir, elle n’a pas hésité à établir deux faux dans les titres, au détriment de son ex-époux, et de les produire dans la procédure de divorce. Elle a également fait montre d'un mépris total pour la législation en matière de circulation routière, en circulant au volant d'un véhicule dépourvu d'assurance responsabilité civile et en ne déposant pas les plaques d'immatriculation invalidées malgré les mises en demeure. Il y a concours d'infractions. L'appelante n'a aucunement collaboré, niant les faits devant la police et le Ministère public et refusant de s'exprimer devant le Tribunal de police. Sa prise de conscience du caractère répréhensible de ses actes est inexistante. Le casier judiciaire de l'appelante est vierge, ce qui constitue toutefois un facteur neutre dans la fixation de la peine et n'a donc pas à être pris en considération dans un sens atténuant (ATF 136 IV 1 consid. 2.6.4 p. 3). Au vu de ce qui précède, c'est à juste titre que les premiers juges ont condamné l'appelante à une peine pécuniaire de 120 jours-amende, à CHF 30.– par jour, avec sursis, délai d'épreuve trois ans. En effet, cette sanction est adéquate et correspond à la faute et à la situation personnelle et économique de l’intéressée, de sorte qu’elle sera confirmée. Par ailleurs, en l’absence d’appel du Ministère public, le sursis (cf. art. 42 CP), dont les conditions sont au demeurant réalisées, est acquis à l’appelante en application de l’interdiction de la reformatio in pejus (art. 391 al. 2 CPP).</w:t>
      </w:r>
    </w:p>
    <w:p>
      <w:r>
        <w:rPr>
          <w:b/>
        </w:rPr>
        <w:t>E. 6</w:t>
      </w:r>
    </w:p>
    <w:p>
      <w:r>
        <w:t>L'appelante, qui succombe, sera condamnée aux frais de la procédure d'appel (art. 428 CPP), comprenant un émolument de CHF 1'500.– (art. 14 al. 1 let. e du Règlement fixant le tarif des frais en matière pénale [RS/GE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