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P/9237/2025 vom 10. Juli 2025</w:t>
      </w:r>
    </w:p>
    <w:p>
      <w:r>
        <w:t>GE Cour de justice, 2025-07-10, FR</w:t>
      </w:r>
    </w:p>
    <w:p>
      <w:r>
        <w:rPr>
          <w:b/>
        </w:rPr>
        <w:t xml:space="preserve">Quelle: </w:t>
      </w:r>
      <w:r>
        <w:t>https://mcp.opencaselaw.ch/entscheid/ge_gerichte_P_9237_2025</w:t>
      </w:r>
    </w:p>
    <w:p>
      <w:r>
        <w:t>FR: GE_GERICHTE P/9237/2025 du 10 juillet 2025</w:t>
      </w:r>
    </w:p>
    <w:p>
      <w:r>
        <w:t>IT: GE_GERICHTE P/9237/2025 del 10 luglio 2025</w:t>
      </w:r>
    </w:p>
    <w:p>
      <w:pPr>
        <w:pStyle w:val="Heading2"/>
      </w:pPr>
      <w:r>
        <w:t>Regeste</w:t>
      </w:r>
    </w:p>
    <w:p>
      <w:r>
        <w:t>DÉTENTION PROVISOIRE;RISQUE DE FUITE;RISQUE DE COLLUSION;RISQUE DE RÉCIDIVE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discute pas la gravité et la suffisance des charges retenues contre lui, de sorte qu'il n'y a pas lieu d'y revenir.</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de nationalité brésilienne, est prévenu d'infractions de nature sexuelle sur deux jeunes filles. Malgré ses attaches en Suisse, où il vit depuis l'âge de 4 ans, où réside sa famille et où il suit désormais une formation professionnelle, la gravité des charges pesant contre lui fondent un risque concret qu'il prenne la fuite ou disparaisse dans la clandestinité, et ne se présente ainsi pas aux éventuels actes ultérieurs de la procédure. La peine menace et concrètement encourue, à laquelle s'ajoute la perspective d'une possible expulsion de Suisse, renforcent encore ce risque. C'est ainsi à bon droit que le premier juge a retenu l'existence d'un risque de fuite. Le TMC semble admettre que ce risque pourrait être pallié par des mesures de substitution. Cette question peut toutefois rester ouverte ici, compte tenu de ce qui suit.</w:t>
      </w:r>
    </w:p>
    <w:p>
      <w:r>
        <w:rPr>
          <w:b/>
        </w:rPr>
        <w:t>E. 4</w:t>
      </w:r>
    </w:p>
    <w:p>
      <w:r>
        <w:t>Le recourant conteste l'existence d'un risque de réitération.</w:t>
      </w:r>
    </w:p>
    <w:p>
      <w:r>
        <w:rPr>
          <w:b/>
        </w:rPr>
        <w:t>E. 4.1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 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En l'espèce, à teneur de l'ordonnance querellée, le risque de récidive repose non pas sur les antécédents du recourant mais sur la gravité des infractions présentement reprochées. Dès lors, le fait que l'antécédent unique du recourant remonterait à sa minorité et qu'il concernerait des infractions non spécifiques est sans pertinence. Sous l'angle de l'art. 221 al. 1 bis CPP, il sera en revanche relevé que les faits pour lesquels le recourant est prévenu sont particulièrement graves, puisqu'il est fortement soupçonné d'infractions à l'intégrité sexuelle, principalement de viol et d'actes d'ordre sexuel commis sur une personne incapable de résistance, perpétrées sur deux jeunes filles mineures, à moins de trois ans d'intervalle. Certes, le recourant conteste les faits et relève ne s'être vu reprocher aucun autre acte depuis lors. Il sera toutefois rappelé qu'à ce stade, le juge de la détention doit évaluer le risque de réitération en fonction de la solidité des charges et des indices permettant de redouter une récidive. Sous cet angle, et au vu des déclarations des deux victimes entendues, c'est à bon droit que le TMC a considéré que le recourant présentait un risque de réitération. Que ces dernières ne souhaitent pas déposer plainte n'y change rien non plus dès lors que les infractions en cause se poursuivent d'office et qu'il est fréquent que des victimes d'infractions à l'intégrité sexuelle ne souhaitent pas se lancer dans une procédure pénale longue et pour elles souvent pénible.</w:t>
      </w:r>
    </w:p>
    <w:p>
      <w:r>
        <w:rPr>
          <w:b/>
        </w:rPr>
        <w:t>E. 5</w:t>
      </w:r>
    </w:p>
    <w:p>
      <w:r>
        <w:t>Le recourant conteste également l'existence d'un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l'instruction ne fait que commencer. Le Ministère public a chargé la police d'entendre des témoins. Alors que le recourant conteste les faits, il convient qu'il n'interfère pas avec ces tiers pour altérer la manifestation de la vérité. Aucune confrontation n'a par ailleurs encore eu lieu avec les victimes à ce stade, étant précisé que rien n'indique qu'elles ont définitivement renoncé à intervenir dans la procédure. Même si une audience a été convoquée par la police le 8 juillet 2025 pour l'audition de témoins, rien ne permet de penser qu'ils aient tous été identifiés à ce stade. Le recourant doit au surplus encore être interrogé sur le résultat de l'analyse de son téléphone, laquelle est susceptible de révéler des éléments de preuve que seul le prévenu connait. Un risque de collusion concret subsiste donc.</w:t>
      </w:r>
    </w:p>
    <w:p>
      <w:r>
        <w:rPr>
          <w:b/>
        </w:rPr>
        <w:t>E. 6</w:t>
      </w:r>
    </w:p>
    <w:p>
      <w:r>
        <w:t>Le recourant conclut subsidiairement au prononcé de mesures de substitution.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l'obligation de se présenter régulièrement à un service administratif (al. 2 let. d) et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L'interdiction d'entrer en contact au sens de l'art. 237 al. 2 let. g CPP ne peut en principe porter que sur des personnes déterminées (arrêts 1B_485/2019 du 12 novembre 2019 consid. 3.4.2; 1B_121/2019 du 8 avril 2019 consid. 4.4).</w:t>
      </w:r>
    </w:p>
    <w:p>
      <w:r>
        <w:rPr>
          <w:b/>
        </w:rPr>
        <w:t>E. 6.3</w:t>
      </w:r>
    </w:p>
    <w:p>
      <w:r>
        <w:t>En l'espèce, l'interdiction de contact avec les victimes, voire l'interdiction de périmètre, sont insuffisantes au regard du risque de collusion constaté. De telles mesures, de même qu'une éventuelle interdiction de contact avec les témoins, paraissent en outre particulièrement difficiles à contrôler, en particulier s'agissant de témoins dont on ignore s'ils sont tous identifiés à ce stade et s'ils auront effectivement tous été entendus le 8 juillet 2025 ; elle ne permet pas, en l'état, de pallier le risque d'atteinte à la recherche de la vérité. À ce propos, le fait que le téléphone du recourant soit séquestré ne donne aucune garantie, compte tenu des moyens actuels, les réseaux sociaux notamment, d'identifier et de contacter toute personne avec laquelle les contacts directs ne seraient plus existants. Enfin, dites mesures ne sont pas propres à pallier le risque de réitération retenu, comme aucune autre mesure d'ailleurs.</w:t>
      </w:r>
    </w:p>
    <w:p>
      <w:r>
        <w:rPr>
          <w:b/>
        </w:rPr>
        <w:t>E. 7</w:t>
      </w:r>
    </w:p>
    <w:p>
      <w:r>
        <w:t>Le principe de la proportionnalité (art. 197 CPP) n'est pas violé compte tenu de la durée de la détention ordonnée et de la peine concrètement encourue si les faits reprochés étaient confirmés.</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