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P/9230/2015 vom 3. Februar 2020</w:t>
      </w:r>
    </w:p>
    <w:p>
      <w:r>
        <w:t>GE Cour de justice, 2020-02-03, FR</w:t>
      </w:r>
    </w:p>
    <w:p>
      <w:r>
        <w:rPr>
          <w:b/>
        </w:rPr>
        <w:t xml:space="preserve">Quelle: </w:t>
      </w:r>
      <w:r>
        <w:t>https://mcp.opencaselaw.ch/entscheid/ge_gerichte_P_9230_2015</w:t>
      </w:r>
    </w:p>
    <w:p>
      <w:r>
        <w:t>FR: GE_GERICHTE P/9230/2015 du 3 février 2020</w:t>
      </w:r>
    </w:p>
    <w:p>
      <w:r>
        <w:t>IT: GE_GERICHTE P/9230/2015 del 3 febbraio 2020</w:t>
      </w:r>
    </w:p>
    <w:p>
      <w:pPr>
        <w:pStyle w:val="Heading2"/>
      </w:pPr>
      <w:r>
        <w:t>Regeste</w:t>
      </w:r>
    </w:p>
    <w:p>
      <w:r>
        <w:t>DÉBUT | CP.303.al1.ch1; aCP.42.al1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w:t>
      </w:r>
    </w:p>
    <w:p>
      <w:r>
        <w:rPr>
          <w:b/>
        </w:rPr>
        <w:t>E. 2.3</w:t>
      </w:r>
    </w:p>
    <w:p>
      <w:r>
        <w:t>En l'espèce, l'appelant a déposé plainte pénale pour abus d'autorité à l'encontre de l'intimé, l'accusant d'avoir placé un téléphone dans sa cellule et d'avoir détruit plusieurs courriers qu'il aurait écrits, faits pour lesquels l'intimé a été blanchi par ordonnance de classement du 18 janvier 2018. Il est ainsi établi que l'appelant a dénoncé pénalement l'intimé pour une infraction que celui-ci n'avait pas commise, de sorte que les éléments constitutifs objectifs de l'infraction de dénonciation calomnieuse sont remplis. On déduit du mémoire d'appel motivé de l'appelant (notamment des références doctrinales et jurisprudentielles citées) que celui-ci estime que les éléments subjectifs de l'infraction ne sont pas remplis, soit notamment celui de l'intention. La CPAR est toutefois convaincue que l'appelant avait conscience de l'innocence de l'intimé au moment de déposer sa plainte. En effet, s'agissant du téléphone portable, la procédure a permis de déterminer que l'appareil avait été utilisé principalement par l'appelant pour passer des appels et SMS à sa compagne, utilisation qu'il a d'ailleurs fini par reconnaître après avoir été confronté aux preuves matérielles. A cela s'ajoute le fait qu'il a reconnu devant le MP qu'il savait que le téléphone n'avait pas été placé dans sa cellule par l'intimé et l'avoir accusé parce que ce dernier lui " faisait chier ". Ses déclarations ultérieures selon lesquelles il avait en réalité cru que l'intimé avait placé le téléphone dans sa cellule de connivence avec un autre détenu au vu de leurs liens privilégiés est dénuée de toute crédibilité. En effet, en plus d'être abracadabrante, cette explication est survenue pour la première fois lors de l'audience de jugement, après que l'appelant ait successivement expliqué : que l'intimé avait placé le téléphone dans sa cellule ; qu'il avait en fait su que le gardien ne l'y avait pas placé ; que l'appareil lui avait été prêté par un certain N______ ; puis en réalité par le détenu M______ ; expliquant ses précédents aveux par une prétendue dépression ; puis, réalisant que son état dépressif remontait à une période antérieure ; par le fait qu'il s'était peut-être mal exprimé devant le Procureur. Sa crédibilité doit ainsi être considérée comme très faible. Force est encore une fois de constater que l'appelant a varié à de très nombreuses reprises dans ses déclarations, s'agissant des courriers adressés à son conseil, que ce soit sur leur nombre, la date de leur rédaction mais aussi sur la manière dont il aurait " appris " que l'intimé souhaitait les détruire, l'appelant indiquant d'abord qu'il le lui avait dit, avant de prétendre l'avoir entendu de la bouche de ses codétenus. Or, il s'avère qu'il n'a jamais pu être établi que ces courriers avaient été détruits par l'intimé, celui-ci l'ayant toujours contesté et l'enquête interne n'ayant rien démontré. L'appelant ne pouvait en tout état de cause pas sérieusement penser que ses courriers - pour autant qu'il les ait effectivement rédigés, ce qui n'a au demeurant pas non plus été établi -, avaient été détruits par l'intimé. En effet, le gardien ne s'occupait pas lui-même de relever le courrier auprès des détenus et il ne ressort pas de la procédure que l'appelant et l'intimé aient eu des différends tels - pour autant que l'on puisse admettre que l'anecdote des clubs de football puisse être considérée comme un différend - que le gardien ait eu de motifs raisonnables de détruire la correspondance de l'appelant. Il existe ainsi un faisceau d'indices convergents amenant la CPAR à la certitude que l'appelant était tout à fait conscient de l'innocence de l'intimé au moment où il a déposé sa plainte pénale, qu'il s'agisse du téléphone portable retrouvé dans sa cellule ou de la disparition des courriers prétendument adressés à son conseil et au Directeur de la prison. L'appelant invoque ses conditions de détention illicites pour conclure à son acquittement. Reste que sa situation et son état d'esprit au moment des faits sont des éléments de contexte qui ne sont pas pertinents pour déterminer s'il connaissait l'innocence de l'intimé au moment de déposer plainte. Ces éléments pourraient dès lors tout au plus avoir une influence sur la peine. Au vu de ce qui précède, c'est à bon droit que le TP a reconnu l'appelant coupable de dénonciation calomnieuse. L'appel sera ainsi rejeté sur ce point.</w:t>
      </w:r>
    </w:p>
    <w:p>
      <w:r>
        <w:rPr>
          <w:b/>
        </w:rPr>
        <w:t>E. 3</w:t>
      </w:r>
    </w:p>
    <w:p>
      <w:r>
        <w:t>3.1. L'infraction à l'art. 303 CP est passible d'une peine privative de liberté ou d'une peine pécuniaire.</w:t>
      </w:r>
    </w:p>
    <w:p>
      <w:r>
        <w:rPr>
          <w:b/>
        </w:rPr>
        <w:t>E. 3.2</w:t>
      </w:r>
    </w:p>
    <w:p>
      <w:r>
        <w:t>Conformément à l'art. 48 al. 1 let.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118 IV 233 consid. 2a p. 236).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w:t>
      </w:r>
    </w:p>
    <w:p>
      <w:r>
        <w:rPr>
          <w:b/>
        </w:rPr>
        <w:t>E. 3.4</w:t>
      </w:r>
    </w:p>
    <w:p>
      <w:r>
        <w:t>Le nouveau droit des sanctions n'étant pas plus favorable à l'intimé, il n'en sera pas fait application (art. 2 al. 2 CP) . 3.5.1. L'art. 42 al. 1 a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3.5.2.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aCP). Constatant qu'il n'avait jamais tranché la question du dies a quo du délai de cinq ans de l'art. 42 al. 2 CP, le Tribunal fédéral a, après examen de la doctrine, précisé que ce délai commençait à courir dès la notification de la décision entrée en force, et non à l'issue du jugement de première instance (ATF 145 IV 137 , consid. 3). 3.6.1. En l'espèce, la faute de l'appelant est importante. Il a mis à tort en cause l'intimé avec lequel il n'avait pas eu de problème particulier, mis à part une divergence - futile - sur des clubs de football, ce qui aurait pu avoir des conséquences importantes sur la vie professionnelle de celui-ci. Sa collaboration a été médiocre. Il a fini par reconnaître avoir utilisé le téléphone trouvé sans sa cellule uniquement après avoir été confronté aux preuves matérielles et est revenu à de nombreuses reprises sur ses déclarations, notamment devant le TP, prétendant n'avoir pas su l'innocence de l'intimé au moment d'agir. Au vu des différentes versions contradictoires qu'il a présentées, sa prise de conscience apparaît très relative. Aucune circonstance atténuante au sens de l'art. 48 CP ne sera retenue. En effet, il ne peut être raisonnablement considéré que l'appelant a été induit en tentation grave (let.b) par l'intimé du seul fait d'une plaisanterie, certes maladroite, au sujet d'un club de football, étant rappelé qu'il ne ressort pas de la procédure que l'intimé et l'appelant auraient été en conflit auparavant. La circonstance atténuante du profond désarroi (let. c) ne sera pas non plus retenue. Si les conditions de détention de l'appelant ont effectivement été difficiles au vu de la détention illicite, et que celui-ci en a souffert, ce qui a été attesté par des rapports médicaux, cela ne justifiait en aucun cas la commission de l'infraction. La CPAR relève par ailleurs que lors de ses différentes auditions, l'appelant n'a jamais indiqué qu'il avait agi dans le but de changer de cellule et n'a pas fait allusion à ses conditions de détention pour justifier son geste, de sorte que cet argument, nouvellement invoqué devant l'autorité de céans, apparaît être de circonstance. Au surplus, force est de constater que l'appelant a changé de cellule et d'unité dès le 12 janvier 2015, et n'était alors plus sous la responsabilité de l'intimé depuis cette date, de sorte qu'il n'avait aucune raison de porter plainte contre lui le 12 avril 2015, puisqu'il avait déjà obtenu ce qu'il souhaitait. Il n'avait pas non plus de raison de persister dans ses accusations devant la police le 8 octobre 2015. Bien que la circonstance atténuante du profond désarroi ne soit pas retenue, la situation particulière de la détention de l'appelant, de même que son état de santé seront pris en compte à décharge, ayant pu avoir une influence sur son moral au moment de passer à l'acte. Au vu de l'ensemble de ce qui précède, la CPAR considère que la peine de 120 jours-amende à CHF 30.- l'unité prononcée par le TP sanctionne adéquatement le comportement de l'appelant, étant précisé que le premier juge a déjà tenu compte de sa situation particulière dans le cadre de la fixation de la peine. Cette peine étant d'un genre différent de celle prononcée le 26 septembre 2016, elle n'est donc pas complémentaire à cette dernière (art. 49 al. 2 CP). Le jugement de première instance sera ainsi confirmé, l'appel étant rejeté sur ce point. 3.6.2. En ce qui concerne le sursis, il est établi que l'appelant a été condamné en première instance pour tentative d'assassinat et entrée et séjour illégal le 15 octobre 2014. Cette condamnation est toutefois entrée en force à l'issue de la procédure d'appel le 26 septembre 2016, date à laquelle, selon la jurisprudence, le délai de cinq ans à prendre en considération au sens de l'art. 42 al. 2 a CP a débuté. Ainsi, force est de constater qu'au moment de son dépôt de plainte calomnieux (avril 2015), l'appelant n'avait pas encore été condamné de manière définitive pour les infractions commises précédemment, de sorte que le délai de l'art. 42 al. 2 a CP n'avait pas encore commencé à courir. L'appelant n'ayant pas été condamné définitivement dans les cinq années précédant la commission de l'infraction de dénonciation calomnieuse, c'est bien le premier alinéa de l'art. 42 a CP qui devra être appliqué au cas d'espèce. Il s'agit dès lors de déterminer si le pronostic de l'appelant n'est pas défavorable (al. 1) et non s'il dispose de circonstances particulièrement favorables (al. 2) pour lui accorder le sursis. En l'espèce, la prise de conscience de l'appelant au sujet de l'infraction commise est nulle. Il ressort cependant des pièces de la procédure que celui-ci n'a plus rencontré de problème particulier avec les gardiens de la prison après son changement de cellule. Libéré en février 2017, il n'a plus commis d'infraction inscrite au casier judiciaire jusqu'à ce jour. Il est également établi qu'il a trouvé du travail depuis sa sortie de prison, et qu'il vit avec sa compagne et leurs enfants. Les autres infractions commises antérieurement, mais inscrites postérieurement à son casier concernent en outre des biens juridiquement protégés différents et ne sont donc pas spécifiques. Au vu de ce qui précède, il apparaît qu'une peine ferme ne semble pas nécessaire pour détourner l'appelant de potentiels futurs crimes ou délits, son pronostic n'étant pas défavorable au vu de sa situation actuelle. Une peine prononcée avec sursis motivera au contraire davantage ce dernier à se conformer à l'ordre juridique suisse. Le sursis lui sera dès lors accordé, avec un délai d'épreuve de trois ans, l'appel étant admis sur ce point.</w:t>
      </w:r>
    </w:p>
    <w:p>
      <w:r>
        <w:rPr>
          <w:b/>
        </w:rPr>
        <w:t>E. 4</w:t>
      </w:r>
    </w:p>
    <w:p>
      <w:r>
        <w:t>.1. Selon l'art. 428 al. 1, 1ère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6B_1261/2017 du 25 avril 2018 consid. 2 et 6B_363/2017 du 1 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consid. 4.1) Si elle rend une nouvelle décision, l'autorité d'appel se prononce également sur les frais fixés par l'autorité inférieure (art. 428 al. 3 CPP).</w:t>
      </w:r>
    </w:p>
    <w:p>
      <w:r>
        <w:rPr>
          <w:b/>
        </w:rPr>
        <w:t>E. 4.2</w:t>
      </w:r>
    </w:p>
    <w:p>
      <w:r>
        <w:t>En l'espèce, l'appelant succombe s'agissant du verdict de culpabilité et de la quotité de la peine, qui sont confirmés, mais obtient gain de cause sur la question du sursis. Les frais de la procédure d'appel, comprenant un émolument de CHF 1'500.- (art. 428 CPP et 14 al. 1 let. e du règlement fixant le tarif des frais en matière pénale du 22 décembre 2010 [RTFMP - E 4 10.03]) seront dès lors mis à sa charge par deux tiers, le dernier tiers étant supportée par l'Etat. Les frais de procédure de première instance, qui comprennent un émolument complémentaire de jugement de CHF 800.- resteront toutefois à la charge de l'appelant, le verdict de culpabilité étant confirmé.</w:t>
      </w:r>
    </w:p>
    <w:p>
      <w:r>
        <w:rPr>
          <w:b/>
        </w:rPr>
        <w:t>E. 5</w:t>
      </w:r>
    </w:p>
    <w:p>
      <w:r>
        <w:t>5.1. L'art. 429 al. 1 let. a CPP prévoit que si le prévenu est acquitté totalement ou en partie ou s'il bénéficie d'une ordonnance de classement, il a droit à une indemnité pour les dépenses occasionnées par l'exercice raisonnable de ses droits de procédure. L'indemnité est limitée aux dépenses occasionnées par l'exercice raisonnable des droits de procédure du prévenu. La question de l'indemnisation du prévenu doit être traitée en relation avec celle des frais. Dans cette mesure, la décision sur les frais préjuge de la question de l'indemnisation (ATF 137 IV 352 consid. 2.4.2 ; arrêt du Tribunal fédéral 6B_1258/2018 du 24 janvier 2019 consid. 3.1).</w:t>
      </w:r>
    </w:p>
    <w:p>
      <w:r>
        <w:rPr>
          <w:b/>
        </w:rPr>
        <w:t>E. 5.2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w:t>
      </w:r>
    </w:p>
    <w:p>
      <w:r>
        <w:rPr>
          <w:b/>
        </w:rPr>
        <w:t>E. 5.3</w:t>
      </w:r>
    </w:p>
    <w:p>
      <w:r>
        <w:t>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 consid. 2.1; 138 IV 197 , consid. 2.3.4).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5.4.1. En l'espèce, l'appelant obtient partiellement gain de cause en appel. Son conseil allègue une activité de 240 minutes à CHF 200.- pour la rédaction du mémoire d'appel motivé, seule activité dans son état de frais qui est postérieure au jugement de première instance, ainsi qu'un forfait de 20% pour les différents courriers, fax et téléphones. Cette activité étant raisonnable, elle sera admise. N'obtenant gain de cause qu'à raison du tiers de son appel,son indemnité sera arrêtée à CHF 344.65, correspondant au tiers de quatre heures de travail à CHF 200.- (soit CHF 266.65) ainsi qu'au tiers de 20% sur ces quatre heures (soit CHF 53.35), plus la TVA à 7.7 % (soit CHF 24.65). Conformément à l'art. 442 al. 4 CPP, cette indemnité sera compensée, à due concurrence, avec la part des frais de procédure mis à sa charge (ATF 143 IV 293 consid. 1). 5.4.2. Le verdict de culpabilité étant confirmé, l'appelant n'aura droit à aucune indemnité pour ses frais de défense de première instance.</w:t>
      </w:r>
    </w:p>
    <w:p>
      <w:r>
        <w:rPr>
          <w:b/>
        </w:rPr>
        <w:t>E. 5.5</w:t>
      </w:r>
    </w:p>
    <w:p>
      <w:r>
        <w:t>Considéré globalement, l'état de frais produit par le conseil de l'intimé paraît adéquat. Son intervention s'étant - à juste titre - limitée à la question de la culpabilité, sur laquelle l'intimé obtient entièrement gain de cause, il aura droit à une indemnité pleine et entière pour ses frais de défense. Le tarif horaire de son conseil sera cependant réduit à une moyenne de CHF 400.- de l'heure pour tenir compte du tarif admis par la cour de céans, et du fait que le travail a été en partie réalisé par un collaborateur. En conclusion, l'indemnité due par A______ à D______ pour les dépenses obligatoires occasionnées par la procédure d'appel (art. 433 CPP) sera arrêtée à CHF 2'477.10 correspondant à cinq heures et 45 minutes d'activité au tarif de CHF 400.-/heure (soit CHF 2'300.-), plus TVA à 7.7% (soit CHF 177.10).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