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P/9220/2019 vom 10. Januar 2023</w:t>
      </w:r>
    </w:p>
    <w:p>
      <w:r>
        <w:t>GE Cour de justice, 2023-01-10, FR</w:t>
      </w:r>
    </w:p>
    <w:p>
      <w:r>
        <w:rPr>
          <w:b/>
        </w:rPr>
        <w:t xml:space="preserve">Quelle: </w:t>
      </w:r>
      <w:r>
        <w:t>https://mcp.opencaselaw.ch/entscheid/ge_gerichte_P_9220_2019</w:t>
      </w:r>
    </w:p>
    <w:p>
      <w:r>
        <w:t>FR: GE_GERICHTE P/9220/2019 du 10 janvier 2023</w:t>
      </w:r>
    </w:p>
    <w:p>
      <w:r>
        <w:t>IT: GE_GERICHTE P/9220/2019 del 10 gennaio 2023</w:t>
      </w:r>
    </w:p>
    <w:p>
      <w:pPr>
        <w:pStyle w:val="Heading2"/>
      </w:pPr>
      <w:r>
        <w:t>Regeste</w:t>
      </w:r>
    </w:p>
    <w:p>
      <w:r>
        <w:t>APPRÉCIATION DES PREUVES;FIXATION DE LA PEINE | CP.140; CP.49; CPP.10</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 Dans la mesure où l’appelant ne motive ni ne renouvelle, dans son mémoire d’appel, sa conclusion en acquittement de l’infraction de conduite d'un véhicule automobile dans l'incapacité de conduire pour d'autres raisons que l'alcool, ni ses conclusions en indemnisation, il faut retenir qu’il a retiré son appel sur ces points (cf. art. 407 al. 1 let. b CPP).</w:t>
      </w:r>
    </w:p>
    <w:p>
      <w:r>
        <w:rPr>
          <w:b/>
        </w:rPr>
        <w:t>E. 2.1</w:t>
      </w:r>
    </w:p>
    <w:p>
      <w:r>
        <w:t>L'article 140 ch. 1 CP punit d'une peine privative de liberté de dix ans au plus ou d'une peine pécuniaire de 180 jours-amende au moins celui qui commet un vol en usant de violence à l'égard d'une personne, en la menaçant d'un danger imminent pour la vie ou l'intégrité corporelle ou en la mettant hors d'état de résister. Le brigandage est une forme aggravée du vol qui se caractérise par les moyens que l’auteur a employés (ATF 133 IV 207 consid. 4.2 p. 210 ; ATF 124 IV 102 consid. 2 p. 104).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La violence est toute action physique immédiate sur le corps de la personne, qui doit défendre la possession de la chose (ATF 133 IV 207 consid. 4.3.1 p. 211). Au lieu de la violence, l’auteur peut employer la menace d’un danger imminent pour la vie ou l’intégrité corporelle, à l’exclusion d’autres biens juridiquement protégés. La menace doit être sérieuse, même si la victime ne l’a pas crue. Elle peut intervenir par actes concluants (B. CORBOZ, Les infractions en droit suisse, volume I, 3e édition, Berne 2010, n. 6 ad art. 140 CP). Il importe peu que la victime ait été mise dans l’incapacité de se défendre; il suffit que l’auteur ait recouru aux moyens indiqués et que le vol ait été consommé (ATF 133 IV 207 consid. 4.3.1 p. 211 ; arrêt du Tribunal fédéral 6B_356/2012 du 1 er octobre 2012 consid. 1.2.1). Sur le plan subjectif, l'intention doit porter sur tous les éléments constitutifs de l'infraction et donc notamment sur le moyen de contrainte utilisé, soit la violence ou la menace d'un danger imminent pour la vie ou l'intégrité corporelle à l'égard d'une personne ou le fait de la mettre hors d'état de résister. L'auteur doit également avoir le dessein de s'approprier la chose et de se procurer ou de procurer à un tiers un enrichissement illégitime (B. CORBOZ, op.cit., n. 1 à 11 ad art. 140 CP).</w:t>
      </w:r>
    </w:p>
    <w:p>
      <w:r>
        <w:rPr>
          <w:b/>
        </w:rPr>
        <w:t>E. 2.2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rPr>
          <w:b/>
        </w:rPr>
        <w:t>E. 2.3</w:t>
      </w:r>
    </w:p>
    <w:p>
      <w:r>
        <w:t>Agit comme complice celui qui prête intentionnellement assistance à l'auteur pour commettre un crime ou un délit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 acte de favorisation. La contribution du complice est subordonnée : il facilite et encourage l'infraction. Il n'est pas nécessaire que l'assistance du complice ait été une condition sine qua non de la réalisation de l'infraction. Il suffit qu'elle l'ait favorisée. L'assistance prêtée par le complice peut être matérielle, intellectuelle ou consister en une simple abstention ; elle est notamment intellectuelle lorsque celui-ci encourage l'auteur, entretient ou fortifie sa décision de commettre l'infraction (ATF 132 IV 49 consid. 1.1 ; 128 IV 53 consid. 5f/cc p. 68 ; 121 IV 109 consid. 3a p. 119/120). Subjectivement, le complice doit avoir l'intention de favoriser la commission de l’infraction ; le dol éventuel suffit. Il faut qu'il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(ATF 132 IV 49 consid. 1.1 p. 52 ; ATF 121 IV 109 consid. 3a p. 120). Contrairement au coauteur, le complice ne veut pas l'infraction pour sienne et n'est pas prêt à en assumer la responsabilité (arrêt du Tribunal fédéral 6B_1089/2018 du 24 janvier 2019 consid. 5.1).</w:t>
      </w:r>
    </w:p>
    <w:p>
      <w:r>
        <w:rPr>
          <w:b/>
        </w:rPr>
        <w:t>E. 2.4</w:t>
      </w:r>
    </w:p>
    <w:p>
      <w:r>
        <w:t>Le principe in dubio pro reo , qui découle de la présomption d'innocence, garantie par l'art. 6 ch. 2 de la Convention de sauvegarde des droits de l'homme (CEDH) et par l’art.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2.5</w:t>
      </w:r>
    </w:p>
    <w:p>
      <w:r>
        <w:t>En l’espèce, les faits de la cause sont relativement simples et ne présentent pas de contradiction essentielle, notamment dans le témoignage de la victime. Il n’est pas surprenant que la victime modifie sa version des faits sur un point de détail lorsqu’elle est confrontée à une dénégation d’un protagoniste, et c’est même plutôt un signe de crédibilité et de sincérité de son témoignage. Dans la mesure où les faits se sont déroulés très vite et que la victime a été prise à partie par un groupe de plusieurs personnes, une telle rectification n’entache pas la crédibilité globale de ses déclarations. La Cour retient ainsi que le jour des faits, le prévenu est monté dans le bus n° 22 avec au moins quatre amis. Ils se sont assis autour de la victime, l’encerclant ; l’appelant a pris place sur le siège à côté d’elle. L’un des membres de ce groupe a commencé à frapper la victime et à lui demander de lui remettre divers objets ; celle-ci a voulu se lever pour se réfugier près du chauffeur. L’appelant l’en a empêchée, ce que tant l’appelant que la victime et plusieurs témoins ont constaté. Directement après, l’un des autres protagonistes a intimé à la victime l’ordre de sortir du bus, ce qu’elle n’a pas fait. Sous les coups qui pleuvaient, la victime a finalement cédé et remis ses biens à ses agresseurs. L’appelant et ses camarades l’ont alors laissée se lever et s’éloigner d’eux. Il découle de cet état de fait que l’appelant a bien participé à l’agression. Au moment où il a empêché la partie plaignante de se lever, il l’a contrainte à rester au sein du groupe et donc en face de ses camarades qui le rouaient de coups, ce qu’il avait vu. Ce n’est qu’après cet épisode que l’un des agresseurs a intimé à la victime de sortir du bus ; au moment où l’appelant a empêché la victime de se lever, celle-ci ne cherchait pas à obtempérer à cette injonction mais à s’enfuir. En la retenant, l’appelant ne l’a donc pas soustraite à l’agression mais l’y a maintenue. Le fait que l’un des témoins ait pu dire (déclaration qu’il n’a pas renouvelée en confrontation) que l’appelant avait cherché à retenir le principal agresseur n’y change rien. Il ressort en effet de ces propos que cet agresseur était déchaîné. Avoir tenté de réduire cette agressivité, ne correspond aucunement, dans le déroulement des faits, à une résistance à l’agression mais tout au plus à une modération de celle-ci, étant rappelé que la victime a été rouée de coups. L’appelant ne s’est sans doute pas associé à l’intégralité de ce déchaînement de coups. Il n’en demeure pas moins qu’il a contribué à la contrainte exercée contre la victime. Les faits se sont déroulés très rapidement, vraisemblablement de façon relativement spontanée, sans que les auteurs ne se soient longuement concertés avant l’agression proprement dite. Ce mode de passage à l’acte, en quelque sorte par actes concluants, dénote que l’appelant a bien participé à l’agression. Contrairement à au moins un autre membre du groupe qui s’est éloigné et a exprimé son désaccord, l’appelant, qui s’était assis à côté de la victime lors de la manœuvre d’encerclement, alors qu’il y avait de nombreuses autres places libres ailleurs dans le bus, est resté assis à côté d’elle lorsque les principaux agresseurs ont commencé à la frapper. Il l’a ensuite empêchée de chercher refuge ailleurs dans le bus en la contraignant à rester au sein du cercle formé avec ses comparses. Ses explications sur sa volonté de la protéger ne résistent ainsi pas à un examen objectif du déroulement des faits. Compte tenu par ailleurs de la rapidité de l’agression, de sa dynamique et de la manière de procéder de ses camarades, le rôle de l’appelant ne s’est pas limité à celui d’un simple complice. Même s’il n’a pas lui-même frappé la victime, il a contribué, dès le début de l’action, à la contrainte, notamment psychologique, exercée en encerclant la victime dans un espace clos du bus, loin du chauffeur et des autres passagers. Il savait pertinemment que ses camarades voulaient obtenir de la victime qu’elle leur remette divers objets, puisqu’il a entendu leurs propos qui ont précédé la violence physique. En ajoutant à la contrainte psychique de sa présence une contrainte physique, alors que ses comparses avaient déjà commencé à frapper la victime, soit en empêchant celle-ci de se lever pour quitter les lieux et se soustraire aux coups, l’appelant a manifesté sa volonté de s’associer pleinement à l’agression en cours. Le verdict de culpabilité pour brigandage en coactivité doit dès lors être confirmé.</w:t>
      </w:r>
    </w:p>
    <w:p>
      <w:r>
        <w:rPr>
          <w:b/>
        </w:rPr>
        <w:t>E. 2.6</w:t>
      </w:r>
    </w:p>
    <w:p>
      <w:r>
        <w:t>L’appelant ne conteste pas le verdict de culpabilité pour contravention à la LStup. Le jugement du TP est toutefois intervenu plus de trois ans après le début de la période pénale retenue dans l’acte d’accusation du MP. Il y a dès lors lieu de constater d’office que cette contravention était prescrite pour la période du 3 décembre 2018 au 6 février 2019 (art. 109 CP) et de modifier en ce sens le jugement entrepris, nonobstant l’absence de grief à cet égard (art. 404 al. 2 CPP).</w:t>
      </w:r>
    </w:p>
    <w:p>
      <w:r>
        <w:rPr>
          <w:b/>
        </w:rPr>
        <w:t>E. 3</w:t>
      </w:r>
    </w:p>
    <w:p>
      <w:r>
        <w:t>3.1. Le brigandage (art. 140 CP) est passible d'une peine privative de liberté de six mois à cinq ans, tandis que la conduite d'un véhicule automobile dans l'incapacité de conduire pour d'autres raisons que l'alcool (art. 91 al. 2 let. b LCR) et la violation de domicile (art. 186 CP) entraînent le prononcé d’une peine privative de liberté de trois ans au plus ou d’une peine pécuniaire. Les contraventions aux art. 292 CP et 19a LStup sont sanctionnées par une amende.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Pour apprécier la situation personnelle, le juge peut prendre en considération le comportement postérieurement à l'acte et au cours de la procédure pénale et notamment l'existence ou l'absence de repentir après l'acte et la volonté de s'amender. Des dénégations obstinées peuvent être significatives de la personnalité et conduire à admettre, dans le cadre de l'appréciation des preuves, que l'intéressé n'éprouve aucun repentir et n'est pas disposé à remettre ses actes en question (ATF 113 IV 56 consid. 4c p. 57 ; arrêt du Tribunal fédéral 6B_675/2019 du 17 juillet 2010 consid. 4.1). Le droit de se taire et de ne pas s'auto-incriminer, qui fait partie des normes internationales généralement reconnues, selon l'art. 6 par. 1 CEDH (ATF 121 II 257 consid. 4a p. 264), n'exclut en effet pas la possibilité de considérer comme un facteur aggravant de la peine le comportement du prévenu qui rend plus difficile l'enquête pénale par des dénégations opiniâtres en présence de moyens de preuve accablants et des mensonges répétés, dont on peut déduire une absence de remords et de prise de conscience de sa faute (arrêts du Tribunal fédéral 6B_693/2020 du 18 janvier 2021 consid. 6.3 ; 6B_222/2020 du 10 juin 2020 consid. 4.2 ; 6B_675/2019 du 17 juillet 2019 consid. 4.2).</w:t>
      </w:r>
    </w:p>
    <w:p>
      <w:r>
        <w:rPr>
          <w:b/>
        </w:rPr>
        <w:t>E. 3.4</w:t>
      </w:r>
    </w:p>
    <w:p>
      <w:r>
        <w:t>Aux termes de l'art. 49 al. 1 CP, si, en raison d'un ou de plusieurs actes, l'auteur remplit les conditions de plusieurs peines de même genre, le juge le condamne à la peine de l'infraction la plus grave et l'augmente dans une juste proportion.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3.5</w:t>
      </w:r>
    </w:p>
    <w:p>
      <w:r>
        <w:t>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w:t>
      </w:r>
    </w:p>
    <w:p>
      <w:r>
        <w:rPr>
          <w:b/>
        </w:rPr>
        <w:t>E. 3.6</w:t>
      </w:r>
    </w:p>
    <w:p>
      <w:r>
        <w:t>En l’espèce, la faute de l'appelant est importante. Il a participé à une agression violente et pour ainsi dire gratuite, d’opportunité, profitant de l’effet de groupe et de l’heure tardive pour soustraire par la force des objets de valeur à la victime. Il a agi par lâcheté et par appât du gain facile, sans aucun respect pour le bien et la sécurité d’autrui. Il a fait montre d’une indifférence complète pour l’intérêt de la victime, et a ensuite cherché à se soustraire à sa responsabilité en rejetant la responsabilité de l’agression sur ses comparses. S’il a exprimé une certaine compassion pour la victime, ses dénégations démontrent que sa prise de conscience n’est qu’embryonnaire, étant relevé qu’il est inquiétant qu’il ose encore, plus de trois ans après les faits, soutenir que le fait de maintenir la victime au sein du groupe des agresseurs était un moyen de la protéger. A cela s’ajoute une grande indifférence quant à la sécurité d’autrui puisque l’appelant n’a pas hésité à conduire un véhicule alors qu’il avait consommé du haschich, étant relevé que ces faits – survenus alors que la présente procédure était déjà ouverte depuis plus de deux ans – confirment l’absence de prise de conscience, par l’appelant, de l’importance d’adopter un comportement respectueux des règles pour assurer la sécurité collective. Enfin, la violation de domicile (pour ainsi dire concomitante aux faits de brigandage) confirme encore une absence de respect du bien d’autrui. La situation personnelle de l'appelant ne justifie en rien son comportement. Il est au bénéfice d’une formation et d’un encadrement familial stable, ses perspectives d’avenir sont bonnes. Ces derniers éléments conduisent la Cour à retenir que l’infraction à la LCR et la violation de domicile peuvent être adéquatement sanctionnées par une peine pécuniaire, l’appelant disposant d’un revenu régulier et de moyens devant lui permettre de s’acquitter d’une telle sanction, qui est également susceptible de le dissuader de toute récidive. Il n’y a dès lors place pour l’application de l’art. 49 CP que pour la peine pécuniaire, le brigandage étant sanctionné par une peine d’un genre différent. 3.7.1. Compte tenu de la violence des faits, notamment de l’effet de groupe auquel l’appelant a contribué, de son attitude de déni, mais aussi de son rôle plus restreint que celui de certains de ses comparses, le brigandage entraîne le prononcé d’une peine privative de liberté de sept mois. Le bénéfice du sursis est acquis à l’appelant et que le délai d’épreuve de trois ans est adéquat. 3.7.2. La violation de domicile et l’infraction à la LCR sont objectivement d’égale gravité ; la seconde étant poursuivie d’office et au vu des biens collectifs protégés, elle constitue néanmoins l’infraction la plus grave pour laquelle une peine de base de 90 jours-amende serait adéquate, laquelle devrait être augmentée pour tenir compte de la violation de domicile. Néanmoins, la somme des unités pénales ainsi envisagées dépasserait celles de la décision entreprise. La peine pécuniaire sera dès-lors arrêtée à 60 jours-amende, afin de ne pas aggraver le sort de l’appelant, et ce quand bien même le prononcé d’une peine pécuniaire est en principe moins sévère que celui d’une peine privative de liberté (ATF 137 IV 249 consid. 3.4.3 p. 254). Le montant du jour-amende sera fixé au minimum légal de CHF 30.- et la peine sera assortie du sursis, lequel est acquis à l’appelant tout comme le délai d’épreuve de trois ans. Compte tenu des faibles revenus de l’appelant et de la peine contraventionnelle ainsi que des frais qu’il devra supporter, il sera renoncé au prononcé d’une amende supplémentaire à titre de sanction immédiate. 3.7.3. Les deux contraventions reprochées à l’appelant sont passibles de la même sanction. Compte tenu de sa longue durée, l’infraction la plus grave est celle à l’art. 19a LStup, qui justifie une peine de base de CHF 400.-, laquelle sera portée à CHF 550.- (peine de base de CHF 200.-) pour l’infraction à l’art. 292 CP. L’appel est ainsi très partiellement admis, essentiellement pour des motifs et sur des points non plaidés.</w:t>
      </w:r>
    </w:p>
    <w:p>
      <w:r>
        <w:rPr>
          <w:b/>
        </w:rPr>
        <w:t>E. 4</w:t>
      </w:r>
    </w:p>
    <w:p>
      <w:r>
        <w:t>L'appelant, qui succombe pour l’essentiel, supportera les 9/10 èmes des frais de la procédure envers l'État (art. 428 CPP), étant relevé que le jugement entrepris n’est annulé que sur des points qui n’ont pas été plaidés, l’appelant n’ayant notamment absolument pas développé d’argument en lien avec la peine fixée par le premier juge.</w:t>
      </w:r>
    </w:p>
    <w:p>
      <w:r>
        <w:rPr>
          <w:b/>
        </w:rPr>
        <w:t>E. 5</w:t>
      </w:r>
    </w:p>
    <w:p>
      <w:r>
        <w:t>En l’absence d'état de frais du défenseur d'office, la CPAR doit déterminer l’indemnité selon les éléments du dossier. La rémunération de M e B______ sera partant arrêtée à CHF 1'080.- correspondant à quatre heures et demie d'activité (0h30 de conférence avec son client, 3h30 pour la rédaction du mémoire d’appel et 0h30 pour la réplique), au tarif de CHF 200.-/heure plus la majoration forfaitaire de 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