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P/9195/2023 vom 15. August 2023</w:t>
      </w:r>
    </w:p>
    <w:p>
      <w:r>
        <w:t>GE Cour de justice, 2023-08-15, FR</w:t>
      </w:r>
    </w:p>
    <w:p>
      <w:r>
        <w:rPr>
          <w:b/>
        </w:rPr>
        <w:t xml:space="preserve">Quelle: </w:t>
      </w:r>
      <w:r>
        <w:t>https://mcp.opencaselaw.ch/entscheid/ge_gerichte_P_9195_2023</w:t>
      </w:r>
    </w:p>
    <w:p>
      <w:r>
        <w:t>FR: GE_GERICHTE P/9195/2023 du 15 août 2023</w:t>
      </w:r>
    </w:p>
    <w:p>
      <w:r>
        <w:t>IT: GE_GERICHTE P/9195/2023 del 15 agosto 2023</w:t>
      </w:r>
    </w:p>
    <w:p>
      <w:pPr>
        <w:pStyle w:val="Heading2"/>
      </w:pPr>
      <w:r>
        <w:t>Regeste</w:t>
      </w:r>
    </w:p>
    <w:p>
      <w:r>
        <w:t>SURVEILLANCE DES TÉLÉCOMMUNICATIONS;PROPORTIONNALITÉ | CPP.273; CPP.279</w:t>
      </w:r>
    </w:p>
    <w:p>
      <w:pPr>
        <w:pStyle w:val="Heading2"/>
      </w:pPr>
      <w:r>
        <w:t>Erwägungen</w:t>
      </w:r>
    </w:p>
    <w:p>
      <w:r>
        <w:rPr>
          <w:b/>
        </w:rPr>
        <w:t>E. 1</w:t>
      </w:r>
    </w:p>
    <w:p>
      <w:r>
        <w:t>Le recours est recevable pour avoir été déposé selon la forme et dans le délai prescrits (art. 385 al. 1 et 396 al. 1 CPP), concerner une mesure de surveillance secrète sujette à recours auprès de la Chambre de céans (art. 279 al. 3 et 393 al. 1 let. a et c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La recourante se plaint d'une violation de son droit d'être entendue.![endif]&gt;![if&gt;</w:t>
      </w:r>
    </w:p>
    <w:p>
      <w:r>
        <w:rPr>
          <w:b/>
        </w:rPr>
        <w:t>E. 3.1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138 I 232 consid. 5.1).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 du Tribunal fédéral 1B_16/2020 du 24 juin 2020 consid. 2.1).</w:t>
      </w:r>
    </w:p>
    <w:p>
      <w:r>
        <w:rPr>
          <w:b/>
        </w:rPr>
        <w:t>E. 3.2</w:t>
      </w:r>
    </w:p>
    <w:p>
      <w:r>
        <w:t>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ce qui est le cas pour l'autorité de recours (art. 391 al. 1 CPP ; arrêt du Tribunal fédéral 1B_574/2020 du 3 décembre 2020 consid. 4.1).</w:t>
      </w:r>
    </w:p>
    <w:p>
      <w:r>
        <w:rPr>
          <w:b/>
        </w:rPr>
        <w:t>E. 3.3</w:t>
      </w:r>
    </w:p>
    <w:p>
      <w:r>
        <w:t>En l'espèce, le TMC s'est fondé sur la demande du Ministère public qui exposait les faits et les actes d'enquête entrepris, détaillés dans le rapport de renseignements du 27 avril 2023. Ce point n'est pas contesté par la recourante. Dans son acte, elle reproche au Ministère public de n'avoir pas expliqué pour quels motifs il n'avait pas – au préalable – procédé à son audition, ce qui permet de conclure qu'elle a parfaitement compris la motivation, même succincte, de l'ordonnance querellée sur ce point. Le grief lié à la motivation lacunaire de l'ordonnance querellée doit donc être rejeté.</w:t>
      </w:r>
    </w:p>
    <w:p>
      <w:r>
        <w:rPr>
          <w:b/>
        </w:rPr>
        <w:t>E. 4</w:t>
      </w:r>
    </w:p>
    <w:p>
      <w:r>
        <w:t>Selon la recourante, les conditions pour ordonner la mesure de surveillance rétroactive n'étaient pas réalisées. ![endif]&gt;![if&gt;</w:t>
      </w:r>
    </w:p>
    <w:p>
      <w:r>
        <w:rPr>
          <w:b/>
        </w:rPr>
        <w:t>E. 4.1</w:t>
      </w:r>
    </w:p>
    <w:p>
      <w:r>
        <w:t>Selon l'art. 273 CPP, lorsque de graves soupçons laissent présumer qu'un crime, un délit ou une contravention au sens de l'art. 179 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 RS 780.1) et les données secondaires postales au sens de l'art. 19 al. 1 let. b LSCPT de la personne surveillée (al. 1). L’ordre de surveillance est soumis à l’autorisation du tribunal des mesures de contrainte (al. 2 ; cf. aussi l'art. 274 CPP). Les données mentionnées à l’al. 1 peuvent être demandées avec effet rétroactif sur une période de six mois au plus, indépendamment de la durée de la surveillance (al. 3).</w:t>
      </w:r>
    </w:p>
    <w:p>
      <w:r>
        <w:rPr>
          <w:b/>
        </w:rPr>
        <w:t>E. 4.2</w:t>
      </w:r>
    </w:p>
    <w:p>
      <w:r>
        <w:t>Selon l'art. 279 CPP, au plus tard lors de la clôture de la procédure préliminaire, le ministère public communique au prévenu ainsi qu’au tiers qui ont fait l’objet d’une surveillance les motifs, le mode et la durée de la surveillance (al. 1). Les personnes dont la correspondance par poste ou par télécommunication a été surveillée ou celles qui ont utilisé l’adresse postale ou le service de télécommunication surveillé peuvent interjeter recours conformément aux art. 393 à 397 (al. 3).</w:t>
      </w:r>
    </w:p>
    <w:p>
      <w:r>
        <w:rPr>
          <w:b/>
        </w:rPr>
        <w:t>E. 4.3</w:t>
      </w:r>
    </w:p>
    <w:p>
      <w:r>
        <w:t>Le recours instauré à l'art. 279 al. 3 CPP permet de contester la légalité de la mesure, et non sa valeur probante, l'examen de cette dernière question appartenant au juge du fond. Lorsque la communication des mesures de surveillance a été valablement notifiée par le ministère public (art. 279 al. 1 CPP), la licéité de cette surveillance ne peut plus être examinée par le juge du fond (ATF 140 IV 40 consid. 1.1 p. 42 ; arrêt du Tribunal fédéral 1B_63/2016 du 8 juin 2016 consid. 1.2.2 non publié in ATF 142 IV 289 ). Le recours se dirige premièrement contre la décision d'autorisation du tribunal des mesures de contrainte, mais couvre également l'ordre de surveillance du ministère public. Dans ce cadre, le recourant pourra notamment se plaindre de ce que les conditions de l'ordre de surveillance ou de l'autorisation n'étaient pas remplies (T. HANSJAKOB / U. PAJAROLA, in A. DONATSCH et al. (éds), Kommentar zur Schweizerischen Strafprozessordnung (StPO) , 3 e éd., Zurich 2020, n. 84 ad art. 279 ; N. SCHMID / D. JOSITSCH, StPO Praxiskommentar , 3 e éd., Zurich 2018, n. 14 ad art. 279). Pour rendre sa décision, l'autorité de recours doit fonder son appréciation sur les circonstances qui prévalaient au moment où l'autorité d'autorisation a statué (arrêt du Tribunal fédéral 1B_450/2017 du 29 mars 2018 consid. 3.1). Lorsqu'elle constate qu'une mesure de surveillance n'aurait pas dû être ordonnée ou autorisée, elle doit appliquer l'art. 277 CPP et détruire immédiatement les documents et enregistrements collectés (T. HANSJAKOB / U. PAJAROLA, op. cit. , n. 91 ad art. 379 ; M. JEAN-RICHARD-DIT-BRESSEL, in M. NIGGLI / M. HEER / H. WIPRÄCHTIGER (éds), Basler Kommentar StPO/JStPO , 2 e éd., Bâle 2014, n. 13 ad art. 279).</w:t>
      </w:r>
    </w:p>
    <w:p>
      <w:r>
        <w:rPr>
          <w:b/>
        </w:rPr>
        <w:t>E. 4.4</w:t>
      </w:r>
    </w:p>
    <w:p>
      <w:r>
        <w:t>En l'occurrence, il n'est pas contesté que la condition liée à l'existence d'une infraction grave (brigandage) est donnée. Les images de vidéosurveillance montrent que la voiture de la recourante a suivi celle de la victime lorsqu'elle rentrait chez elle. Par ailleurs, il ressort du rapport de police que H______ l'a accompagnée à plusieurs reprises, soit comme conducteur, soit comme passager, y compris lorsque celui-ci a rencontré les frères I______/J______ dans la station-service F______. Ces éléments constituent des indices sérieux et concrets à l'encontre de la recourante. En l'état de l'instruction, qui n'en était qu'à ses débuts, son audition était à l'évidence prématurée, étant rappelé ses liens avec H______ et un risque de collusion évident avec les personnes impliquées. Le recours aux mesures de surveillance secrètes s'avérait ainsi être le seul moyen de les appréhender. Aucun autre acte d'instruction ne pouvait entrer en ligne de compte, la recourante n'en proposant au demeurant aucun. Il s'ensuit que le prononcé de la mesure de surveillance rétroactive à l'endroit de la recourante était proportionné pour faire avancer l'enquête.</w:t>
      </w:r>
    </w:p>
    <w:p>
      <w:r>
        <w:rPr>
          <w:b/>
        </w:rPr>
        <w:t>E. 5</w:t>
      </w:r>
    </w:p>
    <w:p>
      <w:r>
        <w:t>Justifiée, l'ordonnance querellée sera donc confirmée.![endif]&gt;![if&gt;</w:t>
      </w:r>
    </w:p>
    <w:p>
      <w:r>
        <w:rPr>
          <w:b/>
        </w:rPr>
        <w:t>E. 6</w:t>
      </w:r>
    </w:p>
    <w:p>
      <w:r>
        <w:t>La recourante,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