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P/9176/2023 vom 29. April 2024</w:t>
      </w:r>
    </w:p>
    <w:p>
      <w:r>
        <w:t>GE Cour de justice, 2024-04-29, FR</w:t>
      </w:r>
    </w:p>
    <w:p>
      <w:r>
        <w:rPr>
          <w:b/>
        </w:rPr>
        <w:t xml:space="preserve">Quelle: </w:t>
      </w:r>
      <w:r>
        <w:t>https://mcp.opencaselaw.ch/entscheid/ge_gerichte_P_9176_2023</w:t>
      </w:r>
    </w:p>
    <w:p>
      <w:r>
        <w:t>FR: GE_GERICHTE P/9176/2023 du 29 avril 2024</w:t>
      </w:r>
    </w:p>
    <w:p>
      <w:r>
        <w:t>IT: GE_GERICHTE P/9176/2023 del 29 aprile 2024</w:t>
      </w:r>
    </w:p>
    <w:p>
      <w:pPr>
        <w:pStyle w:val="Heading2"/>
      </w:pPr>
      <w:r>
        <w:t>Regeste</w:t>
      </w:r>
    </w:p>
    <w:p>
      <w:r>
        <w:t>MENDICITÉ;CEDH;LÉGALITÉ;LIBERTÉ PERSONNELLE;LIBERTÉ D'EXPRESSION | LPG.11A; CEDH.8; CEDH.10</w:t>
      </w:r>
    </w:p>
    <w:p>
      <w:pPr>
        <w:pStyle w:val="Heading2"/>
      </w:pPr>
      <w:r>
        <w:t>Erwägungen</w:t>
      </w:r>
    </w:p>
    <w:p>
      <w:r>
        <w:rPr>
          <w:b/>
        </w:rPr>
        <w:t>E. 3</w:t>
      </w:r>
    </w:p>
    <w:p>
      <w:r>
        <w:t>L'appelante conteste la peine infligée au motif que la CourEDH a proscrit, en matière de mendicité, la conversion d'amende en peine privative de liberté.</w:t>
      </w:r>
    </w:p>
    <w:p>
      <w:r>
        <w:rPr>
          <w:b/>
        </w:rPr>
        <w:t>E. 3.1</w:t>
      </w:r>
    </w:p>
    <w:p>
      <w:r>
        <w:t>La législation genevoise prévoit exclusivement l'amende comme sanction de l'interdiction de la mendicité passive en certains lieux (cf. art. 11A al. 1 LPG), à l'exclusion de tout mécanisme graduel de sanction préalable.</w:t>
      </w:r>
    </w:p>
    <w:p>
      <w:r>
        <w:rPr>
          <w:b/>
        </w:rPr>
        <w:t>E. 3.1.1</w:t>
      </w:r>
    </w:p>
    <w:p>
      <w:r>
        <w:t>Dans son arrêt Lacatus c. Suisse , la CourEDH n'a pas exclu en soi une sanction pénale à la mendicité, dans le sens que la gravité de ladite sanction doit être examinée dans le cadre d'une pesée des intérêts et à l'aune de solides motifs d'intérêt public. Elle a néanmoins relevé que, eu égard à la situation précaire et vulnérable des mendiants, la conversion de l'amende en peine privative de liberté de substitution était quasiment inévitable et constituait dès lors une sanction grave, laquelle devait être justifiée par de solides motifs d'intérêt public et être proportionnée aux buts poursuivis. En l'absence de mendicité intrusive ou agressive, ou de plainte pénale contre le mendiant, l'on pouvait douter d'un intérêt public concret de protection des droits des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 108ss).</w:t>
      </w:r>
    </w:p>
    <w:p>
      <w:r>
        <w:rPr>
          <w:b/>
        </w:rPr>
        <w:t>E. 3.1.2</w:t>
      </w:r>
    </w:p>
    <w:p>
      <w:r>
        <w:t>Le Tribunal fédéral a confirmé depuis lors qu'il n'était pas admissible, au regard de la Cst. et de la CEDH, de sanctionner d'emblée la mendicité passive pratiquée dans certains lieux par une amende qui, au vu du dénuement des personnes concernées, était presque automatiquement convertie en jours de détention. Une amende, même modique et n'excédant pas CHF 50.-, ne pouvait ainsi être envisagée qu'en dernier recours, après que d'autres mesures mieux adaptées aient échoué (ATF 149 I 248 consid. 5.4.6). À cet égard, quand bien même il n'a pas donné de pistes, le Tribunal fédéral a indiqué que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5.4.7). La CPAR a toutefois exclu que cette jurisprudence s'applique lorsqu'une personne déclarée coupable de mendicité avait des antécédents spécifiques (dans le cas qui lui était soumis, plus de 30 interpellations pour des faits de mendicité sous l'ancien droit). Dans ce cas, l'intéressée ne pouvait en effet ignorer, en dépit du changement de loi, qu'elle risquait une amende, sinon sa conversion en jours de détention, de sorte qu'en présence d'une récidive, l'on pouvait affirmer que des mesures administratives moins incisives en amont seraient restées vaines ( ACPR/46/2024 du 30 janvier 2024 consid. 2.4.4.5). La CPAR a néanmoins relevé qu'il serait bienvenu d'intégrer à la loi genevoise, en faveur des primo-délinquants, un mécanisme graduel de sanction avant le prononcé de l'amende quasiment systématiquement convertie, par exemple sous forme de remise d'un avertissement formel dans la langue maternelle du contrevenant, indiquant le caractère pénal de son comportement et la sanction encourue en cas de récidive, voire un guide des bonnes pratiques à adopter dans le canton ( AARP/46/2024 du 30 janvier 2024 consid. 2.4.4.6).</w:t>
      </w:r>
    </w:p>
    <w:p>
      <w:r>
        <w:rPr>
          <w:b/>
        </w:rPr>
        <w:t>E. 3.2</w:t>
      </w:r>
    </w:p>
    <w:p>
      <w:r>
        <w:t>Dans le cas présent, l'appelante n'a pas d'antécédent et le dossier ne contient aucun élément indiquant que l'appelante aurait, préalablement au 3 décembre 2022, date de la première occurrence qui lui est reprochée, été avertie ou sensibilisée au fait qu'il lui était interdit de mendier à proximité de l'entrée d'un commerce, sous peine d'amende, elle-même susceptible de conversion en peine privative de liberté en cas de non-paiement. Sanctionner d'une amende les faits du 3 décembre 2022 n'est dès lors compatible ni avec la CEDH, ni avec la jurisprudence du Tribunal fédéral. Aussi, aucune peine ne sera prononcée en lien avec ces premiers actes. Il sera néanmoins retenu que son interpellation ce jour-là aura constitué un avertissement quant aux risques encourus, en termes de sanction, en cas de mendicité passive dans des lieux proscrits. Il ressort d'ailleurs expressément du rapport des agents qu'elle a été sensibilisée à cette question. Or, cela ne l'a pas empêchée de récidiver moins de trois semaines plus tard, au même endroit, soit à quelques mètres de l'entrée de C______ de [la] rue 1______. Dans ces conditions, l'on peut, à l'instar du cas tranché par la CPAR en janvier 2024, considérer que des mesures administratives moins incisives seraient restées sans effet et que le principe du prononcé d'amende n'est, s'agissant de cette seconde occurrence, pas disproportionné et ne doit pas être remis en cause. L'appel sera dès lors partiellement admis sur ce point et un acquittement prononcé pour les faits du 3 décembre 2022.</w:t>
      </w:r>
    </w:p>
    <w:p>
      <w:r>
        <w:rPr>
          <w:b/>
        </w:rPr>
        <w:t>E. 4</w:t>
      </w:r>
    </w:p>
    <w:p>
      <w:r>
        <w:t>L'appelante conclut, subsidiairement, en cas de condamnation, à une exemption de peine, relevant que dans un jugement du 22 août 2023, le TP a fait application de l'art. 52 CP (cf. JTDP/1074/2023 ).</w:t>
      </w:r>
    </w:p>
    <w:p>
      <w:r>
        <w:rPr>
          <w:b/>
        </w:rPr>
        <w:t>E. 4.1</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4.2</w:t>
      </w:r>
    </w:p>
    <w:p>
      <w:r>
        <w:t>En l'espèce, l'infraction de mendicité est certes de peu d'importance au regard d'autres infractions, ce dont il est tenu compte dans le type de sanction prévu par l'art. 11A al. 1 LPG. L'appelante n'explique toutefois pas en quoi sa culpabilité serait peu importante par rapport à d'autres cas relevant de la même disposition. Elle ne peut à cet égard rien tirer du jugement du TP qu'elle cite, celui-ci n'étant pas motivé et ne permettant dès lors pas de conclure, cas échéant, à une situation similaire. La culpabilité de l'appelante n'est au demeurant pas anodine, dès lors qu'elle a agi à deux reprises au même endroit, alors qu'elle ne pouvait ignorer que son comportement était illicite. Force est dès lors de constater que les conditions de l'art. 52 CP ne sont pas réalisées, de sorte qu'une exemption de peine sur cette base n'entre pas en considération.</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5.2</w:t>
      </w:r>
    </w:p>
    <w:p>
      <w:r>
        <w:t>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134 IV 60 consid. 7.3.3).</w:t>
      </w:r>
    </w:p>
    <w:p>
      <w:r>
        <w:rPr>
          <w:b/>
        </w:rPr>
        <w:t>E. 5.3</w:t>
      </w:r>
    </w:p>
    <w:p>
      <w:r>
        <w:t>Dans le cas présent, la faute de l'appelante doit être qualifiée de faible, quand bien même elle a persisté à mendier dans un lieu proscrit, malgré l'avertissement clair reçu quelques semaines auparavant. Sa situation personnelle, indéniablement précaire, explique ses agissements mais ne les justifie pas totalement, dans la mesure où il existait d'autres lieux où elle pouvait s'adonner à la mendicité de manière licite. Sa collaboration n'appelle pas de remarque particulière, puisqu'elle ne s'est pas exprimée durant la procédure. Elle n'a pas d'antécédent. Au vu de ces éléments, une peine sous forme d'une amende de CHF 40.- apparaît adéquate, s'agissant d'une première sanction pour de la mendicité passive, étant précisé que la Chambre de céans a admis un montant de CHF 100.- dans le cadre d'une peine hypothétique, augmentée de CHF 40.- pour chaque nouvelle occurrence (cf. AARP/88/2024 du 6 mars 2024 consid. 3.6). En dépit de l'abandon de l'aggravante du concours, le montant de l'amende fixée par le premier juge sera dès lors maintenu. Une peine privative de liberté de substitution d'un jour sera prononcée, la loi ne permettant pas d'aller en-deça (art. 106 al. 2 CP).</w:t>
      </w:r>
    </w:p>
    <w:p>
      <w:r>
        <w:rPr>
          <w:b/>
        </w:rPr>
        <w:t>E. 6</w:t>
      </w:r>
    </w:p>
    <w:p>
      <w:r>
        <w:t>L'appelante, qui obtient partiellement gain de cause, supportera la moitié des frais de la procédure envers l'État, comprenant un émolument de jugement réduit à CHF 200.-, pour tenir compte de sa situation financière précaire (art. 428 CPP). Compte tenu de l'acquittement prononcé, la mise à sa charge des frais de la procédure préliminaire et de première instance sera également limitée à la moitié.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