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P/9170/2019 vom 17. April 2020</w:t>
      </w:r>
    </w:p>
    <w:p>
      <w:r>
        <w:t>GE Cour de justice, 2020-04-17, FR</w:t>
      </w:r>
    </w:p>
    <w:p>
      <w:r>
        <w:rPr>
          <w:b/>
        </w:rPr>
        <w:t xml:space="preserve">Quelle: </w:t>
      </w:r>
      <w:r>
        <w:t>https://mcp.opencaselaw.ch/entscheid/ge_gerichte_P_9170_2019</w:t>
      </w:r>
    </w:p>
    <w:p>
      <w:r>
        <w:t>FR: GE_GERICHTE P/9170/2019 du 17 avril 2020</w:t>
      </w:r>
    </w:p>
    <w:p>
      <w:r>
        <w:t>IT: GE_GERICHTE P/9170/2019 del 17 aprile 2020</w:t>
      </w:r>
    </w:p>
    <w:p>
      <w:pPr>
        <w:pStyle w:val="Heading2"/>
      </w:pPr>
      <w:r>
        <w:t>Regeste</w:t>
      </w:r>
    </w:p>
    <w:p>
      <w:r>
        <w:t>LÉSÉ;GESTION DÉLOYALE;PERSONNE MORALE;ACTIONNAIRE;DOMMAGE CAUSÉ À UN TIERS | CPP.115.al1; CP.158; CP.305bis</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Dans son second grief, mais qu'il y a lieu d'examiner en premier, précisément par " souci de cohérence et de systématique ", la recourante reproche au Ministère public d'avoir refusé de lui reconnaître la qualité de partie plaignante.</w:t>
      </w:r>
    </w:p>
    <w:p>
      <w:r>
        <w:rPr>
          <w:b/>
        </w:rPr>
        <w:t>E. 3.1</w:t>
      </w:r>
    </w:p>
    <w:p>
      <w:r>
        <w:t>À teneur de l'art. 118 al. 1 CPP, seul peut se constituer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Selon la jurisprudence, est atteint directement dans ses droits le titulaire du bien juridique protégé par la norme, même si ce bien n'est pas unique (ATF 146 IV 76 consid. 2.2.1 p. 80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p. 495 ; 141 IV 454 consid. 2.3.1 p. 457).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(ATF 141 IV 454 consid. 2.3.1 p. 457 ; arrêt du Tribunal fédéral 1B_40/2020 du 20 juin 2020 consid. 3 et les arrêts cités).</w:t>
      </w:r>
    </w:p>
    <w:p>
      <w:r>
        <w:rPr>
          <w:b/>
        </w:rPr>
        <w:t>E. 3.2</w:t>
      </w:r>
    </w:p>
    <w:p>
      <w:r>
        <w:t>supra ), sa qualité de lésée et, partant, sa qualité de partie plaignante devraient en principe lui être déniées. Elle soutient pourtant que cette jurisprudence connaîtrait une exception, tirée de l'ATF 141 IV 104 , qui commanderait d'admettre les " importants actionnaires minoritaires " d'une personne morale comme lésés de l'infraction de gestion déloyale. L'arrêt en question confirme, en substance, la solution consacrée par l'ATF 117 IV 259 , à savoir qu'une société anonyme, même unipersonnelle, est titulaire autonome de son patrimoine, qui lui est propre, non seulement face à l'extérieur, mais aussi envers chacun des organes sociaux, de sorte que les actes du conseil d'administration commis au préjudice d'une société anonyme unipersonnelle peuvent réaliser l'infraction de gestion déloyale même si l'actionnaire unique y consent. La recourante se fonde notamment sur le passage suivant (consid. 3.2 p. 106 ss [traduction libre]) : " Un acte de disposition, s'il peut être qualifié de distribution (dissimulée) de dividendes (au conseil d'administration, respectivement à l'actionnaire unique), est contraire aux devoirs de fonctions de l'administrateur s'il contrevient aux règles impératives du droit des sociétés sur la protection du capital. L'actionnaire unique d'une société anonyme unipersonnelle doit également respecter ces règles qui, selon leur « ratio legis », ont aussi pour vocation de protéger les tiers qui entrent en contact avec la société. Le patrimoine d'une société anonyme, et donc d'une société anonyme unipersonnelle, doit être protégé selon les dispositions du droit des sociétés également - dans une certaine mesure - dans l'intérêt de tiers (salariés et créanciers). Les intérêts des créanciers de la société anonyme à la préservation du patrimoine de celle-ci ne sont pas seulement protégés pénalement par les infractions dans la faillite (art. 163 ss CP), lesquelles supposent une déclaration de faillite en tant que condition objective de punissabilité, mais également par l'art. 158 CP relatif à la gestion déloyale . [...] Le point de vue exprimé dans l'ATF 117 IV 259 se fonde sur une opinion défendue par Martin Schubarth. [...] Cette jurisprudence doit être maintenue ". Contrairement à ce que prétend la recourante, cet arrêt ne traite nullement de la qualité de lésé au sens de l'art. 115 al. 1 CPP, mais uniquement du point de savoir si une gestion déloyale peut également entrer en ligne de compte en présence d'une société anonyme unipersonnelle. Si le passage cité mentionne les intérêts de tiers, tels que les salariés ou les créanciers (mais non les actionnaires), c'est pour appuyer le fait qu'ils sont également visés, dans une certaine mesure, par les règles destinées à protéger le capital social, et donc qu'un acte de disposition contraire auxdites règles, quand bien même il aurait été approuvé par l'actionnaire unique de la société (unipersonnelle), peut malgré tout s'avérer constitutif de gestion déloyale. Dans un tel cas toutefois, la protection de ces tierces personnes ou, pour reprendre les mots de la recourante, de ces parties prenantes ( stakeholders ), reste indirecte. C'est en effet la société et elle seule qui est alors directement atteinte dans ses droits au sens de l'art. 115 al. 1 CPP, ce que confirment tant le "Regeste" de l'ATF 141 IV 104 (" Gestion déloyale (art. 158 CP) au préjudice d'une SA unipersonnelle " ; " Ungetreue Geschäftsbesorgung (Art. 158 StGB) zum Nachteil einer Einpersonen-AG " ; " Amministrazione infedele (art. 158 CP) a danno di una SA unipersonale ") que les commentaires de cet arrêt par la doctrine (A. M. GARBARSKI, in forumpoenale 4/2015 194 ss, p. 198 ; D. K. GRAF, in jusletter du 20 avril 2015, p. 5). L'approche défendue par la recourante n'est pas sans rappeler la conception dite "civiliste" de la notion de lésé, laquelle a été clairement rejetée par le Tribunal fédéral, qui l'a qualifiée d'incompatible avec le texte même de l'art. 115 al. 1 CPP et avec l'interprétation que la doctrine (alors) très majoritaire, pour ne pas dire unanime, se faisait de cette disposition (arrêt du Tribunal fédéral 6B_680/2013 précité consid. 3.2 et les références citées). Si certains auteurs plaident désormais pour une conception plus large de la notion de lésé, inspirée du régime de la responsabilité civile des administrateurs de la société anonyme (art. 754 ss CO ; cf. D. K. GRAF, Gesellschaftsorgane zwischen Aktienrecht und Strafrecht, aktienrechtliche Verantwortlichkeit - ungetreue Geschäftsbesorgung - Misswirtschaft , Zurich 2017, p. 189 ss), force est de constater que la recourante ne fait valoir, comme poste du dommage, que la non-augmentation de la valeur de ses actions, ce qui correspond également, sous l'angle du droit des sociétés, à un dommage par ricochet (cf. ATF 141 III 112 consid. 5.2.2 ; arrêt du Tribunal fédéral 1B_9/2015 précité consid. 2.3.3). Du reste, rien ne permet de penser que les art. 754 ss CO seraient véritablement applicables en l'espèce - G______ PJSC étant une société sise en Ukraine et organisée selon le droit de ce pays -, ni même que même le droit ukrainien prévoirait une réglementation similaire ou, au contraire, plus généreuse. Il n'y a donc pas lieu de revenir sur la pratique, cohérente et établie, qui limite la qualité de lésé à la seule personne morale touchée par des actes de gestion déloyale. Dans ce cadre, point n'est besoin d'examiner la suite du raisonnement de la recourante, consistant à n'admettre en qualité de lésés que les " importants actionnaires minoritaires ", en référence à certains seuils prévus par la loi, étant précisé que cette opinion ne semble pas trouver d'appui en doctrine. Dès lors que la recourante n'est pas lésée par les actes de gestion déloyale qu'elle dénonce, elle ne peut non plus revêtir cette qualité - et donc celle de partie plaignante - en lien avec l'infraction de blanchiment d'argent (art. 305 bis CP) subséquente (cf. ATF 129 IV 322 consid. 2.2.4 p. 325 ss).</w:t>
      </w:r>
    </w:p>
    <w:p>
      <w:r>
        <w:rPr>
          <w:b/>
        </w:rPr>
        <w:t>E. 3.3</w:t>
      </w:r>
    </w:p>
    <w:p>
      <w:r>
        <w:t>En l'espèce, la recourante reproche aux mis en cause d'avoir mis en place un système de surfacturation des produits achetés par la société G______ PJSC, leur ayant permis de percevoir des rétrocessions occultes sur les montants payés en trop par cette dernière. Ces actes de gestion déloyale aggravée - à supposer qu'ils soient établis - ne touchent toutefois que le patrimoine de G______ PJSC, société de droit ukrainien à la personnalité juridique distincte de celle de la recourante, qui est son actionnaire. En cette qualité, la recourante ne subit qu'une atteinte indirecte, insuffisante pour la faire apparaître comme lésée. Dans ses écritures, elle qualifie d'ailleurs elle-même G______ PJSC de " lésée principale ", et fait valoir que les malversations litigieuses lui ont causé un dommage sous la forme d'une non-augmentation de la valeur de ses actions, ce qui est le propre d'un préjudice par ricochet.</w:t>
      </w:r>
    </w:p>
    <w:p>
      <w:r>
        <w:rPr>
          <w:b/>
        </w:rPr>
        <w:t>E. 3.4</w:t>
      </w:r>
    </w:p>
    <w:p>
      <w:r>
        <w:t>La recourante ne méconnaît pas que, sur la base de la jurisprudence précitée (cf. consid.</w:t>
      </w:r>
    </w:p>
    <w:p>
      <w:r>
        <w:rPr>
          <w:b/>
        </w:rPr>
        <w:t>E. 4</w:t>
      </w:r>
    </w:p>
    <w:p>
      <w:r>
        <w:t>Justifiée, l'ordonnance querellée, en tant qu'elle refuse de reconnaître à la recourante la qualité de partie plaignante, sera donc confirmée. Il en résulte que le recours, en tant qu'il est dirigé contre le prononcé de non-entrée en matière, doit être déclaré irrecevable, faute d'émaner d'une partie à la procédure (art. 104 CPP). Le grief de la recourante qui s'y rapporte ne sera donc pas examiné.</w:t>
      </w:r>
    </w:p>
    <w:p>
      <w:r>
        <w:rPr>
          <w:b/>
        </w:rPr>
        <w:t>E. 5</w:t>
      </w:r>
    </w:p>
    <w:p>
      <w:r>
        <w:t>La recourante,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