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P/9160/2021 vom 12. Januar 2022</w:t>
      </w:r>
    </w:p>
    <w:p>
      <w:r>
        <w:t>GE Cour de justice, 2022-01-12, FR</w:t>
      </w:r>
    </w:p>
    <w:p>
      <w:r>
        <w:rPr>
          <w:b/>
        </w:rPr>
        <w:t xml:space="preserve">Quelle: </w:t>
      </w:r>
      <w:r>
        <w:t>https://mcp.opencaselaw.ch/entscheid/ge_gerichte_P_9160_2021</w:t>
      </w:r>
    </w:p>
    <w:p>
      <w:r>
        <w:t>FR: GE_GERICHTE P/9160/2021 du 12 janvier 2022</w:t>
      </w:r>
    </w:p>
    <w:p>
      <w:r>
        <w:t>IT: GE_GERICHTE P/9160/2021 del 12 gennaio 2022</w:t>
      </w:r>
    </w:p>
    <w:p>
      <w:pPr>
        <w:pStyle w:val="Heading2"/>
      </w:pPr>
      <w:r>
        <w:t>Regeste</w:t>
      </w:r>
    </w:p>
    <w:p>
      <w:r>
        <w:t>CLASSEMENT DE LA PROCÉDURE;DIFFAMATION;RÉPUTATION;PROFESSION;SOUSTRACTION DE DONNÉES(ART. 143 CP);DÉTÉRIORATION DE DONNÉES;PLAINTE PÉNALE;DÉLAI | CPP.319; CP.173; CP.144bis; CP.143bis; CP.143; CP.31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et concerne une ordonnance sujette à recours auprès de la Chambre de céans (art. 393 al. 1 let. a CPP). ![endif]&gt;![if&gt;</w:t>
      </w:r>
    </w:p>
    <w:p>
      <w:r>
        <w:rPr>
          <w:b/>
        </w:rPr>
        <w:t>E. 2.2</w:t>
      </w:r>
    </w:p>
    <w:p>
      <w:r>
        <w:t>Reste à déterminer si les recourantes disposent de la qualité pour agir. ![endif]&gt;![if&gt;</w:t>
      </w:r>
    </w:p>
    <w:p>
      <w:r>
        <w:rPr>
          <w:b/>
        </w:rPr>
        <w:t>E. 2.3</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 2.4.1.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2.4.2.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2.5.1. En l'espèce, C______ SA dispose de la qualité pour recourir, dès lors qu'elle paraît, prima facie , avoir été directement lésée par les faits dénoncés. 2.5.2. Quant à A______, elle est certes administratrice de la société précitée, mais cela ne suffit pas à lui conférer la qualité de lésée. En l'occurrence, elle n'est touchée directement que par l'éventuelle infraction de diffamation (art. 173 CP), de sorte que son recours ne sera recevable que dans cette mesure.</w:t>
      </w:r>
    </w:p>
    <w:p>
      <w:r>
        <w:rPr>
          <w:b/>
        </w:rPr>
        <w:t>E. 3</w:t>
      </w:r>
    </w:p>
    <w:p>
      <w:r>
        <w:t>À bien les comprendre, les recourantes semblent reprocher pour la première fois dans leur recours à D______ de s'être rendu coupable d'abus de confiance, infraction qu'elles n'explicitent ni n'étayent aucunement. Ce grief ne faisant pas l'objet de la décision litigieuse, ni même des plaintes déposées, la Chambre de céans ne saurait entrer en matière. ![endif]&gt;![if&gt;</w:t>
      </w:r>
    </w:p>
    <w:p>
      <w:r>
        <w:rPr>
          <w:b/>
        </w:rPr>
        <w:t>E. 4</w:t>
      </w:r>
    </w:p>
    <w:p>
      <w:r>
        <w:t>Les recourantes invoquent une violation de leur droit d'être entendues et de la maxime d'instruction, en ce sens que le Ministère public aurait refusé d'instruire leurs plaintes, notamment en procédant aux actes d'enquête sollicités. ![endif]&gt;![if&gt;</w:t>
      </w:r>
    </w:p>
    <w:p>
      <w:r>
        <w:rPr>
          <w:b/>
        </w:rPr>
        <w:t>E. 4.1</w:t>
      </w:r>
    </w:p>
    <w:p>
      <w:r>
        <w:t>La procédure pénale est régie par le principe de la maxime inquisitoire (art. 6 al. 1 CPP). Elle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(M. NIGGLI / M. HEER / H. WIPRÄCHTIGER (éds), Schweizerische Strafprozessordnung / Schweizerische Jugendstrafprozessordnung, Basler Kommentar StPO/JStPO , 2e éd., Bâle 2014, n. 65 ad art. 6 et les références citées).![endif]&gt;![if&gt;</w:t>
      </w:r>
    </w:p>
    <w:p>
      <w:r>
        <w:rPr>
          <w:b/>
        </w:rPr>
        <w:t>E. 4.2</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299).![endif]&gt;![if&gt;</w:t>
      </w:r>
    </w:p>
    <w:p>
      <w:r>
        <w:rPr>
          <w:b/>
        </w:rPr>
        <w:t>E. 4.3</w:t>
      </w:r>
    </w:p>
    <w:p>
      <w:r>
        <w:t>Selon l'article 318 al. 2 CPP, le ministère public peut écarter une réquisition de preuve si celle-ci exige l'administration de preuves sur des faits non pertinents,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1254).![endif]&gt;![if&gt;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 consid. 2.1).</w:t>
      </w:r>
    </w:p>
    <w:p>
      <w:r>
        <w:rPr>
          <w:b/>
        </w:rPr>
        <w:t>E. 4.4</w:t>
      </w:r>
    </w:p>
    <w:p>
      <w:r>
        <w:t>En l'espèce, le Ministère public a exposé les motifs pour lesquels il n'entendait pas donner suite aux réquisitions de preuve proposées par les recourantes. Il a en effet considéré que les moyens offerts étaient dénués de pertinence et n'étaient pas de nature à modifier son appréciation des faits. Il s'est prononcé d'une façon précise et motivée, en tous points conforme au respect du droit d'être entendu et des principes gouvernant l'appréciation anticipée des preuves. ![endif]&gt;![if&gt; Pour le surplus, la voie du recours permet de présenter et/ou de revenir sur les réquisitions de preuve sollicitées en fin d'instruction, de sorte qu'il n'existe pas de violation du droit d'être entendu. Ce grief sera, par conséquent, rejeté.</w:t>
      </w:r>
    </w:p>
    <w:p>
      <w:r>
        <w:rPr>
          <w:b/>
        </w:rPr>
        <w:t>E. 5</w:t>
      </w:r>
    </w:p>
    <w:p>
      <w:r>
        <w:t>C______ SA dénonce un accès indu à son système informatique, une soustraction ainsi qu'une détérioration de ses données au sens des art. 143, 143bis et 144bis CP. ![endif]&gt;![if&gt;</w:t>
      </w:r>
    </w:p>
    <w:p>
      <w:r>
        <w:rPr>
          <w:b/>
        </w:rPr>
        <w:t>E. 5.1</w:t>
      </w:r>
    </w:p>
    <w:p>
      <w:r>
        <w:t>Ces infractions se poursuivent uniquement sur plainte. ![endif]&gt;![if&gt;</w:t>
      </w:r>
    </w:p>
    <w:p>
      <w:r>
        <w:rPr>
          <w:b/>
        </w:rPr>
        <w:t>E. 5.2</w:t>
      </w:r>
    </w:p>
    <w:p>
      <w:r>
        <w:t>Selon l'art. 31 CP, le droit de porter plainte se prescrit par trois mois. Il s'agit d'un délai de péremption qui ne peut être ni interrompu, ni prolongé, et qui ne concerne que les infractions poursuivies sur plainte. Le point de départ du délai de plainte est le jour où le lésé a connaissance non seulement de l'auteur de l'infraction mais aussi de l'infraction elle-même (M. DUPUIS / B. GELLER / G. MONNIER / L. MOREILLON / C. PIGUET / C. BETTEX / D. STOLL (éds), Code pénal - Petit commentaire , Bâle 2012, ns. 2-4 ad art. 31 CP).![endif]&gt;![if&gt;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w:t>
      </w:r>
    </w:p>
    <w:p>
      <w:r>
        <w:rPr>
          <w:b/>
        </w:rPr>
        <w:t>E. 5.3</w:t>
      </w:r>
    </w:p>
    <w:p>
      <w:r>
        <w:t>En l'espèce, il résulte du dossier que la recourante susmentionnée a adressé une lettre au mis en cause, le 11 janvier 2021, dans laquelle il lui était reproché de s'être transféré par courriel des documents ainsi que des données confidentielles appartenant à la société. Considérant ces agissements comme illicites, la recourante lui a enjoint de lui restituer lesdites données et de les supprimer de tout support informatique ou papier, lui rappelant, pour le surplus, être soumis à une clause de confidentialité. ![endif]&gt;![if&gt; Force est ainsi de constater qu'elle a eu connaissance de l'auteur et des actes délictueux au plus tard le 11 janvier 2021, selon ses propres déclarations. Dans la mesure où elle disposait de suffisamment d'informations, il lui incombait de déposer plainte dans un délai de trois mois à compter de cette date, sous peine de forclusion. Dans ces conditions, le dépôt, le 26 avril 2021, de la plainte pénale doit être considéré comme tardif, ce qui constitue un empêchement de procéder au sens de l'art. 319 al. 1 let. d CPP. Le classement de la procédure sera donc confirmé sur ce point, par substitution de motifs.</w:t>
      </w:r>
    </w:p>
    <w:p>
      <w:r>
        <w:rPr>
          <w:b/>
        </w:rPr>
        <w:t>E. 6</w:t>
      </w:r>
    </w:p>
    <w:p>
      <w:r>
        <w:t>Les recourantes font grief au Ministère public d'avoir classé leur plainte pour diffamation (art. 173 CP). ![endif]&gt;![if&gt;</w:t>
      </w:r>
    </w:p>
    <w:p>
      <w:r>
        <w:rPr>
          <w:b/>
        </w:rPr>
        <w:t>E. 6.1</w:t>
      </w:r>
    </w:p>
    <w:p>
      <w:r>
        <w:t>Selon l'art. 319 al. 1 CPP, le ministère public ordonne le classement de tout ou partie de la procédure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 arrêt du Tribunal fédéral 6B_152/2014 du 6 janvier 2015 consid. 3.2). Le principe in dubio pro duriore ,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2.5).![endif]&gt;![if&gt;</w:t>
      </w:r>
    </w:p>
    <w:p>
      <w:r>
        <w:rPr>
          <w:b/>
        </w:rPr>
        <w:t>E. 6.2</w:t>
      </w:r>
    </w:p>
    <w:p>
      <w:r>
        <w:t>Se rend coupable de diffamation (art. 173 al. 1 CP), celui qui, en s'adressant à un tiers, aura accusé une personne ou jeté sur elle le soupçon de tenir une conduite contraire à l'honneur. ![endif]&gt;![if&gt;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(arrêt du Tribunal fédéral 6B_1020/2018 du 1er juillet 2019 consid. 5.1.1).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(ATF 145 IV 462 consid. 4.2.3 p. 464).</w:t>
      </w:r>
    </w:p>
    <w:p>
      <w:r>
        <w:rPr>
          <w:b/>
        </w:rPr>
        <w:t>E. 6.3</w:t>
      </w:r>
    </w:p>
    <w:p>
      <w:r>
        <w:t>En l'espèce, il est constant que les recourantes et le mis en cause sont en litige depuis que ce dernier a mis un terme à leurs relations contractuelles le 16 décembre 2020. ![endif]&gt;![if&gt; Il résulte en outre du dossier que le mis en cause soutient être titulaire du droit de propriété intellectuelle sur un projet – dont il serait l'auteur – et qu'il reproche aux recourantes de l'avoir écarté de celui-ci. Il prétend également que ces dernières ne lui auraient jamais versé de salaire entre les mois de juillet 2019 et novembre 2020, ce qui est contesté par les intéressées. L'envoi du courriel litigieux s'inscrit dans ce contexte conflictuel, qui est purement professionnel. En l'occurrence, les recourantes déplorent des propos qu'elles jugent attentatoires à leur honneur. Elles estiment, en effet, que les affirmations selon lesquelles le mis en cause serait seul titulaire du droit de propriété intellectuelle concerné, et qu'il n'aurait pas été rémunéré pour son activité, seraient propres à jeter le discrédit sur elles, aux yeux de leurs partenaires contractuels. Tel n'est toutefois pas le cas, puisque ces assertions, pour dépréciatives qu'elles soient, se rapportent uniquement à leur réputation professionnelle, laquelle échappe à la notion d'honneur pénalement protégé. En effet, le fait que le mis en cause eût soutenu, dans le contexte sus-évoqué, que les recourantes n'auraient pas respecté certaines règles du droit du travail et auraient revendiqué des droits sur un projet dont il serait prétendument à l'origine, ne rend pas celles-ci méprisables, au sens pénal du terme. Ainsi, faute pour les propos litigieux d'être attentatoires à l'honneur, le Ministère public était fondé à classer la procédure sur l'infraction susvisée.</w:t>
      </w:r>
    </w:p>
    <w:p>
      <w:r>
        <w:rPr>
          <w:b/>
        </w:rPr>
        <w:t>E. 7</w:t>
      </w:r>
    </w:p>
    <w:p>
      <w:r>
        <w:t>Enfin, C______ SA semble reprocher au mis en cause une violation du " secret professionnel ". ![endif]&gt;![if&gt;</w:t>
      </w:r>
    </w:p>
    <w:p>
      <w:r>
        <w:rPr>
          <w:b/>
        </w:rPr>
        <w:t>E. 7.1</w:t>
      </w:r>
    </w:p>
    <w:p>
      <w:r>
        <w:t>Seules peuvent se rendre coupables de violation du secret professionnel au sens de l'art. 321 ch. 1 CP les personnes qui exercent l'une des activités énumérées par cette disposition (ATF 95 I 439 ; 83 IV 197 ; M. DUPUIS / B. GELLER / G. MONNIER / L. MOREILLON / C. PIGUET / C. BETTEX / D. STOLL (éds), op. cit., n. 11 ad art. 321;), au nombre desquelles les gestionnaires de portefeuilles et consultant ne figurent toutefois pas. ![endif]&gt;![if&gt; Il s'ensuit que cette infraction ne saurait non plus entrer en considération, à l'instar de ce qu'a retenu le Ministère public.</w:t>
      </w:r>
    </w:p>
    <w:p>
      <w:r>
        <w:rPr>
          <w:b/>
        </w:rPr>
        <w:t>E. 8</w:t>
      </w:r>
    </w:p>
    <w:p>
      <w:r>
        <w:t>Compte tenu de l'ensemble de ce qui précède, les mesures d'instruction sollicitées par les recourantes sont de toute évidence dénuées de pertinence. ![endif]&gt;![if&gt;</w:t>
      </w:r>
    </w:p>
    <w:p>
      <w:r>
        <w:rPr>
          <w:b/>
        </w:rPr>
        <w:t>E. 9</w:t>
      </w:r>
    </w:p>
    <w:p>
      <w:r>
        <w:t>Justifiée, l'ordonnance querellée sera donc confirmée.![endif]&gt;![if&gt;</w:t>
      </w:r>
    </w:p>
    <w:p>
      <w:r>
        <w:rPr>
          <w:b/>
        </w:rPr>
        <w:t>E. 10</w:t>
      </w:r>
    </w:p>
    <w:p>
      <w:r>
        <w:t>Les recourantes, qui succombent, supporteront, conjointement et solidairement,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