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P/9148/2015 vom 27. November 2017</w:t>
      </w:r>
    </w:p>
    <w:p>
      <w:r>
        <w:t>GE Cour de justice, 2017-11-27, FR</w:t>
      </w:r>
    </w:p>
    <w:p>
      <w:r>
        <w:rPr>
          <w:b/>
        </w:rPr>
        <w:t xml:space="preserve">Quelle: </w:t>
      </w:r>
      <w:r>
        <w:t>https://mcp.opencaselaw.ch/entscheid/ge_gerichte_P_9148_2015</w:t>
      </w:r>
    </w:p>
    <w:p>
      <w:r>
        <w:t>FR: GE_GERICHTE P/9148/2015 du 27 novembre 2017</w:t>
      </w:r>
    </w:p>
    <w:p>
      <w:r>
        <w:t>IT: GE_GERICHTE P/9148/2015 del 27 novembre 2017</w:t>
      </w:r>
    </w:p>
    <w:p>
      <w:pPr>
        <w:pStyle w:val="Heading2"/>
      </w:pPr>
      <w:r>
        <w:t>Regeste</w:t>
      </w:r>
    </w:p>
    <w:p>
      <w:r>
        <w:t>LÉSION CORPORELLE SIMPLE ; DOMMAGES À LA PROPRIÉTÉ(DROIT PÉNAL) ; MENACE(DROIT PÉNAL) ; VIOLATION DE DOMICILE ; FIXATION DE LA PEINE ; CONCOURS D'INFRACTIONS ; TRAITEMENT AMBULATOIRE ; DÉFENSE D'OFFICE | CP.123; CP.144.al1; CP.180.al1; CP.186; CP.47; CP.49.al1; CP.63.al1;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2.2.2. 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 jurisprudence a reconnu la qualité pour porter plainte pour dommages à la propriété non pas au seul propriétaire, mais à tout ayant droit privé de l'usage de la chose, alors même que cette infraction vise en premier lieu à protéger la propriété (ATF 118 IV 209 consid. 3 p. 212 = JdT 1994 IV 162 ; ATF 117 IV 437 consid. 1b = JdT 1994 IV 38 ; ATF 102 II 87 consid. a). La jurisprudence s'inspire de l'idée que le locataire ou tout autre usager sont souvent plus atteints par le dommage que celui qui a simplement perdu la contrevaleur de l'objet (ATF 117 IV 437 consid. 1b). 2.2.3.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 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(B. CORBOZ, Les infractions en droit suisse , 3e éd., Berne 2010, n os</w:t>
      </w:r>
    </w:p>
    <w:p>
      <w:r>
        <w:rPr>
          <w:b/>
        </w:rPr>
        <w:t>E. 5</w:t>
      </w:r>
    </w:p>
    <w:p>
      <w:r>
        <w:t>Vu l'issue de la procédure, l'appelant sera débouté de ses prétentions en indemnisation (art. 429 al. 1 CPP a contrario ).</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chef d'étude CHF 200.- (let. c). En cas d'assujettissement, l'équivalent de la TVA est versé en sus. L'état de frais produit par M e B______, défenseur d'office de l'appelant, est adéquat et sera intégralement pris en compte, à l'exception des frais de photocopie qui sont compris dans le tarif horaire qui prend en considération les frais généraux de l'étude. Par ailleurs, il convient de rectifier la durée de l'audience d'appel, qui était d'une heure et 35 minutes. L'indemnité sera ainsi arrêtée à CHF 2'548.80 correspondant à 9 heures 50 minutes d'activité au tarif de CHF 200.-/heure, plus la majoration forfaitaire de 20% (CHF 393.40) et l'équivalent de la TVA au taux de 8% en CHF 188.80.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