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P/9129/2018 vom 30. April 2019</w:t>
      </w:r>
    </w:p>
    <w:p>
      <w:r>
        <w:t>GE Cour de justice, 2019-04-30, FR</w:t>
      </w:r>
    </w:p>
    <w:p>
      <w:r>
        <w:rPr>
          <w:b/>
        </w:rPr>
        <w:t xml:space="preserve">Quelle: </w:t>
      </w:r>
      <w:r>
        <w:t>https://mcp.opencaselaw.ch/entscheid/ge_gerichte_P_9129_2018</w:t>
      </w:r>
    </w:p>
    <w:p>
      <w:r>
        <w:t>FR: GE_GERICHTE P/9129/2018 du 30 avril 2019</w:t>
      </w:r>
    </w:p>
    <w:p>
      <w:r>
        <w:t>IT: GE_GERICHTE P/9129/2018 del 30 aprile 2019</w:t>
      </w:r>
    </w:p>
    <w:p>
      <w:pPr>
        <w:pStyle w:val="Heading2"/>
      </w:pPr>
      <w:r>
        <w:t>Regeste</w:t>
      </w:r>
    </w:p>
    <w:p>
      <w:r>
        <w:t>PLAINTE PÉNALE ; LÉSÉ ; APPRÉCIATION DES PREUVES ; VOL(DROIT PÉNAL) ; DOMMAGES À LA PROPRIÉTÉ(DROIT PÉNAL) ; VIOLATION DE DOMICILE ; VIOL ; TENTATIVE(DROIT PÉNAL) ; FIXATION DE LA PEINE ; CONCOURS D'INFRACTIONS ; PEINE PRIVATIVE DE LIBERTÉ ; EXPULSION(DROIT PÉNAL) ; DÉFENSE D'OFFICE | CP.190.al1; CP.30; CPP.115.al1; CPP.118.al1; CPP.10.al3; CP.139.al1; CP.144.al1; CP.186; CP.22; CP.47; CP.49; CP.66a.al1.ch4; CPP.135.al1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1.3</w:t>
      </w:r>
    </w:p>
    <w:p>
      <w:r>
        <w:t>Les déclarations de la victime, entendue comme témoin, constituent un élément de preuve. Le juge doit, dans l'évaluation globale de l'ensemble des éléments probatoires rassemblés au dossier, les apprécier librement (arrêt du Tribunal fédéral 6B_614/2012 du 15 février 2013 consid. 3.2.5). Rien ne s'oppose à ce que le juge ne retienne qu'une partie des déclarations d'un témoin globalement crédible (ATF 120 Ia 31 consid. 3 p. 39 ; arrêt du Tribunal fédéral 6B_637/2012 du 21 janvier 2013 consid. 5.4). 3.1.4. Le principe de l'appréciation libre des preuves interdit d'attribuer d'entrée de cause une force probante accrue à certains moyens de preuve, comme des rapports de police (arrêts du Tribunal fédéral 6B_353/2015 du 14 décembre 2015 consid. 2 ; 1P.282/2006 du 4 août 2006 consid. 2.3).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Tribunal fédéral 6B_750/2010 du 5 mai 2011 consid. 2.2).</w:t>
      </w:r>
    </w:p>
    <w:p>
      <w:r>
        <w:rPr>
          <w:b/>
        </w:rPr>
        <w:t>E. 1.5</w:t>
      </w:r>
    </w:p>
    <w:p>
      <w:r>
        <w:t>À l'instar des autres moyens de preuve, le juge apprécie librement la force probante d'une expertise - dont celles portant sur l'analyse de profils d'ADN (M. NIGGLI / M. HEER / H. WIPRÄCHTIGER (éds), Strafprozessordnung / Jugendstrafprozessordnung, Basler Kommentar StPO/JStPO , 2 e éd., Bâle 2014, n. 2 ad art. 182 ; A. KUHN / Y. JEANNERET (éds), Commentaire romand : Code de procédure pénale suisse , Bâle 2011, n. 2,7, 10 ad art. 182) -, étant rappelé qu'il ne peut s'écarter des conclusions de l'expert sans motifs sérieux et qu'il doit alors motiver sa décision (ATF 129 I 49 ; arrêt du Tribunal fédéral 6B_787/2009 du 27 novembre 2009 consid. 1.1). 3.1.6. Aux termes de l'art. 1 al. 2 de l'ordonnance sur le traitement des données signalétiques biométriques du 6 décembre 2013 (J______-O ; RS 361.3), le traitement des données signalétiques biométriques a pour but de permettre aux autorités fédérales et cantonales d'identifier des personnes vivantes ou décédées, d'identifier des traces relevées sur les lieux d'une infraction et d'établir des liens entre plusieurs infractions. Les données suivantes, issues de la J______, sont fournies : le résultat de la comparaison (" hit " ou " no-hit "), les photographies disponibles et, en cas de concordances de traces, la comparaison des empreintes digitales (art. 16 al. 1 let. a ch. 1 à 3 J______-O). Toutes les données sont effacées, au plus tard, 30 ans après la saisie signalétique (art. 17 al. 2 let. a J______-O).</w:t>
      </w:r>
    </w:p>
    <w:p>
      <w:r>
        <w:rPr>
          <w:b/>
        </w:rPr>
        <w:t>E. 2.1</w:t>
      </w:r>
    </w:p>
    <w:p>
      <w:r>
        <w:t>L'art. 139 ch. 1 CP réprime le comportement de celui qui, pour se procurer ou procurer à un tiers un enrichissement illégitime, aura soustrait une chose mobilière appartenant à autrui dans le but de se l'approprier. La soustraction implique notamment la violation de la possession d'autrui et la création d'une nouvelle possession, en général en faveur de l'auteur (ATF 110 IV 80 consid. 2b p. 84). L'auteur doit agir dans le dessein de se procurer ou de procurer à un tiers un enrichissement illégitime (B. CORBOZ, Les infractions en droit suisse , vol. I, 3 e éd., Berne 2010, n. 11 ad art. 139). 3.2.2. L'art. 172ter al. 1 CP s'applique si l'acte ne visait qu'un élément patrimonial de faible valeur ou un dommage de moindre importance. Un élément patrimonial est de faible valeur s'il ne vaut pas plus de CHF 300.- (ATF 142 IV 129 consid. 3.1 ; arrêt du Tribunal fédéral 6B_1318/2015 du 18 novembre 2016 consid. 1.1).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CHF 300.- (ATF 123 IV 197 consid. 2a ; arrêts du Tribunal fédéral 6B_217/2012 du 20 juillet 2012 consid. 4.3 et 6B_1318/2015 du 18 novembre 2016 consid. 1.1).</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3.3</w:t>
      </w:r>
    </w:p>
    <w:p>
      <w:r>
        <w:t>L'art. 144 al. 1 CP punit, sur plainte, le comportement de celui qui aura endommagé, détruit ou mis hors d'usage une chose appartenant à autrui ou frappée d'un droit d'usage ou d'usufruit au bénéfice d'autrui.</w:t>
      </w:r>
    </w:p>
    <w:p>
      <w:r>
        <w:rPr>
          <w:b/>
        </w:rPr>
        <w:t>E. 3.4</w:t>
      </w:r>
    </w:p>
    <w:p>
      <w:r>
        <w:t>L'art. 186 CP condamne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ayant-droit. 3.5.1. Aux termes de l'art. 190 al. 1 CP, se rend coupable de viol celui qui, notamment en usant de menace ou de violence, en exerçant sur sa victime des pressions d'ordre psychique ou en la mettant hors d'état de résister, aura contraint une personne de sexe féminin à subir l'acte sexuel. Par acte sexuel on entend l'union naturelle des parties génitales de l'homme et de la femme. Il importe peu de savoir dans quelle mesure le membre viril pénètre dans les parties génitales de la femme ou si le sperme s'est écoulé dans le vagin (ATF 99 IV 151 consid. 1 p. 152 s. ; 77 IV 169 consid. 1 p. 170 s. ; arrêt du Tribunal fédéral 6B_206/2015 du 8 octobre 2015 consid. 1.1). L'art. 190 CP ne protège des atteintes à la libre détermination en matière sexuelle que pour autant que l'auteur surmonte ou déjoue la résistance que l'on pouvait raisonnablement attendre de la victime (ATF 133 IV 49 consid. 4 p. 52 ; ATF 131 IV 167 consid. 3.1 p. 170 ; arrêt du Tribunal fédéral 6B_1070/2017 du 20 avril 2018 consid. 5.2). L'infraction visée par l'art. 190 CP exige donc non seulement qu'une personne subisse l'acte sexuel alors qu'elle ne le veut pas, mais également qu'elle le subisse du fait d'une contrainte exercée par l'auteur (arrêts du Tribunal fédéral 6B_710/2012 du 3 avril 2013 consid. 3.1 ; 6B_311/2011 du 19 juillet 2011 consid. 5.2).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 du Tribunal fédéral 6B_493/2016 du 27 avril 2017 consid. 2.2). La violence désigne l'emploi volontaire de la force physique sur la personne de la victime dans le but de la faire céder (ATF 122 IV 97 consid. 2b p. 100 ; arrêt du Tribunal fédéral 6B_502/2017 du 16 avril 2008 consid. 1.1.1).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(arrêts du Tribunal fédéral 6B_493/2016 du 27 avril 2017 consid. 2.2.1 ; 6B_570/2012 du 26 novembre 2012 consid. 1.2). 3.5.2. Sur le plan subjectif, l'infraction est intentionnelle, mais le dol éventuel suffit. L'auteur doit savoir que la victime n'est pas consentante ou, du moins, en accepter l'éventualité, et il doit vouloir ou, tout au moins, accepter qu'elle soit contrainte par le moyen qu'il met en oeuvre ou la situation qu'il exploite (arrêt du Tribunal fédéral 6B_822/2014 du 8 janvier 2015 consid. 3.3). L'élément subjectif sera réalisé lorsque la victime a donné des signes évidents et déchiffrables de son opposition, reconnaissables pour l'auteur, tels des pleurs, des demandes d'être laissée tranquille, le fait de se débattre, de refuser de tentatives d'amadouement ou d'essayer de fuir, et que celui-ci n'en a pas tenu compte (arrêt du Tribunal fédéral 6B_575/2010 du 16 décembre 2010 consid. 1.3.2). 3.5.3. La tentative suppose que l'auteur réalise tous les éléments subjectifs de l'infraction et qu'il manifeste sa décision de la commettre, mais sans en réaliser tous les éléments objectifs (ATF 120 IV 199 consid. 3e p. 206). En cas de viol, le seuil de la tentative est dépassé lorsque l'auteur commence à créer une situation de contrainte (ATF 119 IV consid. 2 p. 227). Il y a ainsi tentative lorsque l'auteur tente de baisser le pantalon de sa victime (arrêts du Tribunal fédéral 6B_493/2016 du 27 avril 2017 consid. 2.3 ; 6S.239/2000 du 30 août 2000 consid. 2c).</w:t>
      </w:r>
    </w:p>
    <w:p>
      <w:r>
        <w:rPr>
          <w:b/>
        </w:rPr>
        <w:t>E. 3.6</w:t>
      </w:r>
    </w:p>
    <w:p>
      <w:r>
        <w:t>En l'espèce,l'appelant conteste le cambriolage reproché au préjudice du commerce H______ entre les 18 et 19 août 2012, ne s'en souvenant pas. Selon les rapports de police, une correspondance a été établie entre la trace palmaire relevée en 2012 sur un morceau de la vitre brisée appartenant audit commerce, dont une photo a été produite et montre un certain nombre de plis papillaires, et les empreintes digitales de l'appelant relevées en 2018. La présence d'une trace palmaire de l'appelant sur la vitre du commerce H______ ne s'explique que par un contact de sa main sur celle-ci, contact pour lequel il n'existe aucune autre explication plausible que sa participation à ce cambriolage. Ladite correspondance a en outre été vérifiée, à tout le moins, à quatre reprises par des agents de la BPTS et aucun élément ne permet de remettre en cause leurs constatations, pas même le fait que le " hit " ne soit intervenu qu'en 2018, bien que l'appelant ait été interpellé à d'autres reprises entre-temps, cela pouvant s'expliquer par la nature des empreintes précédemment relevées. On y voit d'ailleurs là l'une des raisons pour lesquelles de tels éléments sont conservés aussi longtemps dans la base de données J______. Par ailleurs, même si cela n'est pas en soi décisif, il convient tout de même d'observer que l'appelant commettait des infractions contre le patrimoine à la même période, afin de financer sa consommation de stupéfiants, ce qu'il a reconnu et qui est démontré par l'extrait de son casier judiciaire. Dans ces conditions, le cambriolage commis doit lui être imputé. Or, en pénétrant par effraction dans le commerce H______, l'appelant escomptait manifestement un butin supérieur à CHF 300.-, de sorte qu'un vol d'importance mineure ne saurait être retenu, quand bien même ce dernier n'a dérobé que la somme de CHF 150.- qui se trouvait dans une petite boite. Partant, le verdict de culpabilité pour violation de domicile, dommages à la propriété et vol au préjudice du commerce H______ doit être confirmé.</w:t>
      </w:r>
    </w:p>
    <w:p>
      <w:r>
        <w:rPr>
          <w:b/>
        </w:rPr>
        <w:t>E. 3.7</w:t>
      </w:r>
    </w:p>
    <w:p>
      <w:r>
        <w:t>Il est établi que l'appelant a pénétré à l'intérieur du F______ la nuit du 17 au 18 mai 2018, alors qu'il savaitne pas avoir le droit d'y entrer sans autorisation, tel qu'il l'a, du reste, reconnu en première instance. L'appelant connaissait, en effet, manifestement le règlement interne de ce centre -dont le régime applicable aux visites extérieures , pour y avoir résidé peu de temps auparavant, et savait ainsi que, du moment qu'il n'y était plus résident, ses visites ne pouvaient être admises qu'avec l'accord de l'équipe éducative, inexistant. Dans ces conditions, quand bien même l'intimée AE______ lui aurait ouvert la porte, ce qui n'est pas prouvé, l'appelant avait conscience du fait qu'il n'était pas autorisé à pénétrer dans ces lieux et avait la volonté de faire fi de l'autorisation requise ce soir-là, entrant d'ailleurs dans le centre peu avant la fermeture de ses portes à 23h00. Dès lors, l'appelant s'est bien rendu coupable d'une violation de domicile au détriment du F______ durant la nuit du 17 au 18 mai 2018. 3.8.1. L'appelant persiste à nier la tentative de viol reprochée au préjudice de l'intimée AE______ la même nuit au F______, étant relevé qu'il est établi et non contesté que les parties s'y sont vues, celles-ci ne s'opposant qu'au sujet du déroulement des faits dans la chambre de l'intimée, soit en particulier quant au fait que l'appelant aurait tenté de contraindre cette dernière à subir l'acte sexuel. Les explications de l'intimée AE______ sont circonstanciées, cohérentes et ont été globalement constantes, les légères variations survenues dans son récit n'entamant en rien sa crédibilité, quoi qu'en dise l'appelant. En particulier, le fait qu'elle ait d'abord indiqué porter un string, puis une culotte, voire un caleçon, le soir des faits, est manifestement sans incidence, seul le fait qu'elle ait été vêtue de dessous apparaissant pertinent, ce d'autant plus que la variation peut être le fait du transcripteur. Au demeurant, l'inventaire dressé fait état du séquestre d'un string, ce qui vient corroborer ses premières indications. Le fait que l'intimée n'ait pas crié, bien qu'elle ait eu peur, ne vient pas non plus mettre à mal son récit, dès lors que celle-ci a expliqué qu'elle ne voulait initialement pas alerter la veilleuse, ce que l'on peut comprendre, dans la mesure où la découverte de l'appelant par la surveillante aurait pu lui occasionner des problèmes avec le centre et où elle pensait pouvoir décider celui-ci à quitter les lieux sans autre difficulté. Il convient de tenir compte du fait que l'appelant était l'ex-ami de l'intimée, pour lequel elle conservait une certaine bienveillance, de sorte qu'il apparaît compréhensible que, de prime abord, elle ne s'en soit pas méfiée, ni n'ait cherché à lui nuire en appelant la sécurité. Elle a pu, par la suite, se défendre contre lui et l'a menacé d'appeler la police, parvenant ainsi à le mettre en fuite. Enfin, le récit de l'intimée ne comporte pas de divergences significatives s'agissant des circonstances de départ de l'appelant. Il en ressort en effet, globalement, qu'elle a réussi à le faire fuir, en se défendant de lui physiquement, en le menaçant d'appeler la police et en faisant référence à sa précédente condamnation pour viol - qui est établie même si elle ne figure plus à son casier , sans que l'un de ces éléments ne contredise l'autre. Au contraire, l'appelant a considérablement varié dans ses déclarations, cherchant visiblement à les adapter en fonction des éléments de l'enquête, et s'est contredit sur plusieurs points essentiels. En particulier, il a livré des déclarations pour le moins confuses s'agissant de savoir s'il était en couple avec l'intimée et s'il s'était rendu au F______ avec l'assentiment de celle-ci. En effet, après avoir initialement déclaré qu'ils étaient en couple, il a nuancé cela en expliquant qu'ils devaient se voir en cachette, avant d'indiquer qu'il n'était en fait plus véritablement le compagnon de l'intimée celle-ci ne l'utilisant que pour financer sa consommation de drogue et d'alcool. En appel, il a réaffirmé qu'ils formaient toujours un couple le jour des faits et qu'ils avaient entretenu leur dernière relation sexuelle le 4 mai 2018 d'où la présence de son liquide séminal sur la culotte de l'intimée , tout en soutenant qu'il souhaitait mettre un terme à leur relation et était justement venu au F______ pour le dire à l'intimée, ce que celle-ci avait mal pris. Or, aucune de ces variantes n'apparaît crédible. Il ressort des preuves recueillies que l'intimée avait mis un terme à sa relation avec l'appelant bien avant les faits, tel qu'elle l'a précisément expliqué, l'avait confié à D______ et comme le démontrent les derniers messages échangés avec l'appelant, dans lesquels elle le prie de la laisser tranquille et lui signifie qu'elle reviendra elle-même vers lui pour lui rendre ses habits. Ces échanges démontrent, en tous les cas, que l'intimée n'avait aucunement l'intention de voir l'appelant le soir du jeudi 17 mai 2018, lui ayant envoyé un message le même jour pour convenir d'un rendez-vous ultérieur pour lui rendre ses habits. Dans ce contexte, l'intimée a véritablement dû être très surprise de voir l'appelant au F______ le soir des faits, ce que la teneur du message envoyé par ce dernier à 22h49, selon lequel " elle était effrayée pour si peu ", vient finalement corroborer. La posture adoptée par l'intimée après qu'elle ait constaté la présence de l'appelant au F______ démontre également qu'elle ne souhaitait pas le voir, puisqu'elle lui a immédiatement demandé de quitter les lieux et n'est pas restée avec lui, ce qui est prouvé par le fait que celui-ci a dû lui adresser des messages pour communiquer avec elle et lui proposer de consommer de la cocaïne avec lui, alors qu'il se trouvait sur place. Sur ce dernier point, les déclarations de l'appelant ont également été nébuleuses. Il a d'emblée reconnu avoir consommé de la cocaïne au F______ et il est établi qu'il n'a eu de cesse de proposer à l'intimée d'en prendre avec lui. Cela étant, il a prétendu, en première instance, s'être rendu au F______ pour dire à l'intimée de ne plus consommer des stupéfiants et qu'il souhaitait arrêter de lui en fournir, avant d'indiquer, durant la même audience, qu'il avait proposé à l'intimée de consommer avec lui, sinon celle-ci se fâchait, puis qu'il l'avait en réalité fait pour tester sa volonté d'abstinence. Il ressort pourtant de plusieurs éléments du dossier que l'intimée ne souhaitait alors plus consommer et qu'elle se sentait d'ailleurs incommodée par les incessantes propositions de l'appelant en ce sens. Enfin, l'appelant, qui a d'emblée déclaré que l'intimée avait refusé de faire l'amour avec lui le soir des faits, n'ayant pas de libido, et qu'ils ne s'étaient ainsi pas dévêtus, n'a pas été en mesure de donner une explication plausible à la présence de son liquide séminal sur la culotte de celle-ci, saisie par la police au lendemain des faits. Face à cette découverte, il a tenté de soutenir avoir eu des rapports sexuels avec l'intimée les jours précédents, tout en variant au sujet de la date de leur survenance, indiquant successivement que ceux-ci remontaient à quatre jours avant les faits litigieux, puis à neuf jours et enfin à trois semaines, avant d'indiquer qu'il ne se souvenait plus précisément de la date en question. Quoi qu'il en soit, l'hypothèse de l'appelant selon laquelle l'intimée aurait pu garder le même sous-vêtement entre les 4 et 17 mai 2018, sans le laver, ou d'un transfert d'ADN, pour expliquer la présence de son liquide séminal sur celui-ci, n'est pas plausible. Celle-ci se chargeait même de la lessive de l'appelant, de sorte que l'on peine à croire qu'elle aurait gardé un sous-vêtement sale durant près de deux semaines. Compte tenu de ce qui précède, au contraire des dires de l'appelant, il y a tout lieu de retenir que les parties n'étaient plus en couple et qu'en tout état de cause, l'intimée ne souhaitait pas le voir la nuit du 17 au 18 mai 2018. Cela étant, quand bien même les parties auraient été en couple, l'intimée restait entièrement libre de lui signifier son refus d'entretenir une relation sexuelle à tout moment, ce qu'elle a manifestement fait le soir des faits. Les transcriptions de messages produits par l'appelant ne sont pas propres à remettre en cause cette évidence. La crédibilité de l'intimée est encore renforcée par le fait qu'elle a livré un récit des évènements similaire à D______, ainsi que lors de sa prise en charge au service des urgences de la Clinique U______. En outre, il ressort tant du témoignage de D______ que du rapport médical du 23 mai 2018 que l'intimée était en état de choc peu après les faits. Des lésions physiques ont, par ailleurs, été constatées sur la main gauche de l'intimée, la face antérieure de ses tibias, des deux côtés, et la face antérieure de son genou, de même qu'une douleur à la mobilisation de son épaule droite, lesquelles apparaissent compatibles avec ses allégations. L'intimée avait notamment fait état, dès le dépôt de sa plainte, de douleurs au niveau des mains. Le fait que le liquide séminal de l'appelant ait été retrouvé sur la culotte de l'intimée ne s'explique, en définitive, de manière crédible que par la version des faits de cette dernière, selon laquelle l'appelant avait frotté son pénis contre son sous-vêtement, avant de tenter de la pénétrer, même s'il ne s'agit que d'un indice parmi d'autres. De surcroît, l'appelant ne conteste pas qu'avant qu'il quitte la chambre de l'intimée, celle-ci a fait référence à sa condamnation pour viol en 2009, ce qui n'a également de sens que dans la version des faits rapportée par cette dernière. Enfin, l'intimée n'a pas chargé davantage l'appelant, se limitant à décrire des faits constitutifs de tentative, indiquant que celui-ci avait dit qu'il était désolé avant de quitter sa chambre et ne s'était pas montré violent avant le 17 mai. L'intimée n'a, par ailleurs, aucun bénéfice secondaire dans cette affaire. La thèse de la jalousie ne trouve pas d'assise, vu que l'intimée avait souhaité rompre avec l'appelant et qu'avant cela, il semblait même qu'elle l'encourageait à voir d'autres femmes, faute de libido. On observera également que lorsqu'elle avait eu l'occasion d'être jalouse, en raison des évènements rapportés par son amie "M______", l'intimée avait simplement choisi de ne pas la croire, sans autre animosité, avant d'être bien obligée de réaliser que les faits contés étaient vrais. Aucune conclusion civile n'a par ailleurs été prise. La CPAR retiendra, sur la base de cet important faisceau d'indices concordants, que la version des faits présentée par l'intimée AE______ correspond à la réalité. 3.8.2. Dans ces conditions, il doit être tenu pour établi que l'appelant a, dans la nuit du 17 au 18 mai 2018, au F______, tenté de contraindre l'intimée à subir l'acte sexuel, alors que celle-ci lui manifestait clairement son opposition, en faisant usage de violence envers elle. Le projet de l'appelant n'a été mis en échec que grâce au comportement de l'intimée, qui a trouvé le courage de lui opposer résistance et est parvenue à le mettre en fuite. Aussi, c'est à juste titre qu'un verdict de culpabilité du chef de tentative de viol a été retenu à l'encontre de l'appelant.</w:t>
      </w:r>
    </w:p>
    <w:p>
      <w:r>
        <w:rPr>
          <w:b/>
        </w:rPr>
        <w:t>E. 4</w:t>
      </w:r>
    </w:p>
    <w:p>
      <w:r>
        <w:t>5.2.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ATF 142 IV 265 consid. 2.3.3 p. 268 = JdT 2017 IV 129 ; ATF 141 IV 61 consid. 6.1.2 p. 67 ; arrêt du Tribunal fédéral 6B_962/2016 du 29 août 2017 consid. 4.1).</w:t>
      </w:r>
    </w:p>
    <w:p>
      <w:r>
        <w:rPr>
          <w:b/>
        </w:rPr>
        <w:t>E. 4.1</w:t>
      </w:r>
    </w:p>
    <w:p>
      <w:r>
        <w:t>Le viol (art. 190 al. 1 CP) est sanctionné d'une peine privative de liberté de un à dix ans. L'infraction de vol (art. 139 ch. 1 CP) est réprimée d'une peine privative de liberté de cinq ans au plus ou d'une peine pécuniaire. Celles aux art. 144 CP et 186 CP sont passibles d'une peine privative de liberté de trois ans au plus ou d'une peine pécuniaire. Quant à laconsommation de stupéfiants d'après l'art. 19a ch. 1 LStup, que l'appelant n'a pas remis en cause en seconde instance, elle est punie d'une amende. 4.2.1. Le 1 er janvier 2018, sont entrées en vigueur des nouvelles dispositions sur le droit des sanctions. Il découle de l'art. 2 al. 1 et 2 du code pénal suisse du 21 décembre 1937 (CP - RS 311.0) que l'on applique en principe la loi en vigueur au moment où l'acte a été commis, à moins que la nouvelle loi ne soit plus favorable à l'auteur (principe de la non-rétroactivité de la loi pénale et exception de la lex mitior ; arrêts du Tribunal fédéral 6B_496/2012 , 6B_503/2012 du 18 avril 2013 consid. 8.1). 4.2.2. En l'occurrence, les faits reprochés à l'appelant sont à la fois antérieurs et postérieurs à l'entrée en vigueur du nouveau droit des sanctions. Comme il le sera exposé ci-après, compte tenu du fait qu'il convient, dans le cas d'espèce, de prononcer une peine privative de liberté d'ensemble, partiellement complémentaire à des peines précédentes, et d'examiner l'octroi d'un éventuel sursis, à tout le moins partiel, à celle-ci, une application globale du nouveau droit apparaît plus favorable à l'appelant.</w:t>
      </w:r>
    </w:p>
    <w:p>
      <w:r>
        <w:rPr>
          <w:b/>
        </w:rPr>
        <w:t>E. 4.3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4.4</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4.5.1.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4.7</w:t>
      </w:r>
    </w:p>
    <w:p>
      <w:r>
        <w:t>La faute de l'appelantest lourde. Il a tenté de faire fi du libre arbitre de l'intimée AE______ en matière sexuelle en profitant de sa confiance et en faisant usage de violence envers elle, alors qu'il était parfaitement au fait de son absence de consentement et la savait traverser une étape difficile de sa vie. En outre, il s'en est pris au patrimoine d'autrui, ainsi qu'à deux reprises, au domicile d'un tiers. Ses mobiles relèvent de l'égoïsme et d'un manque de considération pour autrui, s'agissant notamment de satisfaire ses pulsions les plus primaires, en dépit des répercussions sérieuses de ses actes sur l'intimée AE______. La responsabilité de l'appelant n'était en rien diminuée, tel qu'en a témoigné sa détermination, ceci n'ayant d'ailleurs pas été remis en cause. Il y a concours d'infraction, ce qui justifie une aggravation de la peine, étant relevé que l'infraction la plus grave, soit celle de viol, est sanctionnée d'une peine privative de liberté allant jusqu'à 10 ans. La collaboration de l'appelant a été mauvaise, celui-ci s'étant enfermé dans ses dénégations, quitte à livrer des déclarations contradictoires et incohérentes. Il en va de même de sa prise de conscience, jusqu'ici inexistante. Sa situation personnelle ne justifie en rien ses agissements, l'appelant ayant grandement contribué à la précariser, en persistant à consommer des stupéfiants, alors que l'opportunité de rompre avec son addiction lui avait été donnée au F______, et en demeurant sans activité autre que ses méfaits, alors qu'il avait des aptitudes professionnelles dans le domaine du commerce et disposait d'un permis de séjour. L'appelant semblait, par ailleurs, pouvoir compter avec l'aide de son entourage, dont V______. Les antécédents de l'appelant sont nombreux et spécifiques. Il ne sera tenu compte que d'une très légère atténuation du fait de la tentative, l'échec du projet de l'appelant n'ayant été dû qu'à la réactivité et combativité de l'intimée AE______, qui est parvenue à le repousser, alors que les actes répréhensibles de celui-ci étaient déjà bien avancés. Compte tenu de ce qui précède, la tentative de viol commise par l'appelant justifie, à elle seule, le prononcé d'une peine privative de liberté de deux ans, étant rappelé qu'une telle infraction est réprimée d'une peine privative de liberté d'au minimum un an. Les autres infractions commises par l'appelant doivent également être sanctionnées d'une peine privative de liberté, au vu des multiples antécédents de ce dernier en la matière. Aussi, une peine privative de liberté d'ensemble, partiellement complémentaire à celles prononcées entre les 24 octobre 2012 et 26 juin 2015 - au vu des actes intervenus en août 2012 -, de 30 mois, sanctionne adéquatement les actes de l'appelant, tant au regard de sa faute que de sa situation personnelle. A l'instar de ce qu'ont considéré les premiers juges, le pronostic apparaît clairement défavorable au vu de la situation personnelle de l'appelant et de ses antécédents, dont celui du 16 septembre 2013 portant sur une peine privative de liberté de 18 mois, intervenu moins de cinq ans avant les faits répréhensibles de mai 2018, et dont la libération conditionnelle avait été ensuite révoquée. Dès lors, il ne convient pas de mettre l'appelant au bénéfice du sursis partiel, seule une peine ferme permettant encore d'espérer qu'il se détourne de la répétition d'actes répréhensibles. Au surplus, une amende de CHF 300.-, ainsi qu'une peine privative de liberté de substitution de trois jours, pour réprimer sa consommation de stupéfiants, est appropriée et conforme au droit (art. 106 CP). En définitive, les peines prononcées par les premiers juges doivent être confirmées. 5. 5.1.1. Les dispositions sur l'expulsion ne s'appliquent qu'aux infractions commises à partir du 1 er octobre 2016. 5.1.2. Conformément à l'art. 66a al. 1 let. h CP, le juge expulse un étranger du territoire suisse pour une durée de cinq à quinze ans notamment s'il est reconnu coupable de viol (art. 190 CP). L'expulsion obligatoire en cas de commission, par un étranger, d'infractions déterminées, doit également être prononcée lorsque l'acte délictueux est resté au stade de la tentative (ATF 144 IV 168 consid. 1.4.1, in Jusletter 28 mai 2018 ; arrêt du Tribunal fédéral 6B_612/2018 du 22 août 2018 consid. 2.4). 5.1.3. Selon l'art. 66a al. 2 CP, le juge peut exceptionnellement renoncer à l'expulsion lorsque celle-ci mettrait l'étranger dans une situation personnelle grave et que l'intérêt public à l'expulsion ne l'emporte pas sur son intérêt privé à demeurer en Suisse, la situation de celui qui est né et a grandi en Suisse méritant une prise en compte particulière ( AARP/119/2017 du 20 mars 2017 consid. 4.1). L'art. 66a al. 2 CP définit une " Kannvorschrift ", en ce sens que le juge n'a pas l'obligation de renoncer à l'expulsion, mais peut le faire si les conditions fixées par cette disposition sont remplies. Ces conditions sont cumulatives (arrêts du Tribunal fédéral 6B_706/2018 du 7 août 2018 consid. 2.1 ; 6B_296/2018 du 13 juillet 2018 consid. 3.2 ; 6B_506/2017 du 14 février 2018 consid. 1.1 et les références = SJ 2018 I 397).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(arrêts du Tribunal fédéral 6B_612/2018 du 22 août 2018 consid. 2.1 ; 6B_296/2018 du 13 juillet 2018 consid. 3.2 ; 6B_1299/2017 du 10 avril 2018 consid. 2.1 ; M. BUSSLINGER / P. UEBERSAX, op. cit. , p. 96 ss ; A. BERGER, Umsetzungsgesetzgebung zur Ausschaffungsinitiative , in Jusletter 7 août 2017 n. 6.1 p. 20).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(arrêts du Tribunal fédéral 6B_1027/2018 du 7 novembre 2018 consid. 1.3 ; 6B_724/2018 du 30 octobre 2018 consid. 2.3.2 et les références). Dans l'examen de la proportionnalité, le comportement de l'auteur tel qu'il ressort du dossier pénal peut être pris en considération, y compris, le cas échéant, les antécédents radiés (cf. B. SAUTEREL, Plaidoyer 6/18, revue juridique et politique du 3 décembre 2018, p. 7 ; AARP/401/2018 du 12 décembre 2018 consid. 5.1).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6B_1027/2018 du 7 novembre 2018 consid. 1.4 ; 6B_724/2018 du 30 octobre 2018 consid. 2.3.2 ; 6B_371/2018 du 21 août 2018 consid. 2.5).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 p. 101 ; G. FIOLKA / L. VETTERLI, op. cit ., p. 87 ; AARP/185/2017 du 2 juin 2017 consid. 2.2). Pour apprécier ce qui est équitable, l'autorité doit notamment tenir compte de la gravité de la faute commise par l'étranger, de la durée de son séjour en Suisse et du préjudice qu'il aurait à subir avec sa famille du fait de l'expulsion (ATF 139 II 121 consid. 6.5.1 p. 132 ; 135 II 377 consid. 4.3 p. 381 s.). 5.2. Compte tenu de la confirmation du verdict de culpabilité de l'appelant pour tentative de viol, eu égard à des faits intervenus après le 1 er octobre 2016, son expulsion de Suisse doit être ordonnée, sous réserve de la réalisation de la clause de rigueur. Or, force est de constater que l'appelant n'a pas véritablement d'attaches en Suisse et ne s'y est jamais réellement inséré. En effet, si l'appelant a deux filles résidant à Genève, il a d'autres enfants ailleurs. En outre, il ressort de ses propos, ainsi que de ceux de son ex-épouse V______ qu'il ne voit ses filles que de manière sporadique. Du reste, celle-ci et leur fille commune, W______, ont émis l'avis que l'appelant serait mieux à Cuba, pays dans lequel il a vécu jusqu'à ses 24 ans, et où vit encore une grande partie de sa famille, dont l'un de ses enfants. Enfin, l'appelant se trouve en détention depuis plus d'un an et il n'apparaît pas que ses filles soient venues lui rendre visite durant cette période, de sorte que leurs liens semblent manifestement distendus. En outre, l'appelant vit dans une situation précaire, étant toxicomane, sans logement, et à la charge de la société depuis plusieurs années, de sorte qu'il n'est notamment pas en mesure de contribuer à l'entretien de ses filles, à tout le moins depuis 2007 selon ses précisions. Son permis d'établissement, échu au 12 juin 2018, n'a, en l'état, pas pu être renouvelé, un avertissement lui ayant par ailleurs été signifié par l'OCPM. Partant, l'appelant ne peut faire valoir un intérêt privé prépondérant à demeurer en Suisse face à l'intérêt public manifeste qui existe à ordonner son expulsion du territoire, au vu de ses agissements délictueux, qui s'ajoutent à plusieurs antécédents, dénotant ainsi un mépris persistant pour l'ordre juridique suisse. Rien ne permet de penser que sa réintégration à Cuba, pays dont la situation est au demeurant actuellement stable selon le Département des affaires étrangères (DFAE), serait particulièrement difficile, dès lors qu'il y a grandi, en maîtrise la langue et y a de la famille. En outre, des relations avec ses filles pourront être assurées par le biais de moyens de communication modernes, voire par des visites de celles-ci dans son pays, sa fille W______ et sa maman y ayant séjourné un mois en juillet 2018, auprès de sa propre famille. Dans ces conditions, son expulsion du territoire suisse pour la durée minimale de cinq ans, ordonnée par le premier juge, est proportionnée et se justifie pleinement. Le jugement entrepris doit donc, en définitive, être intégralement confirmé.</w:t>
      </w:r>
    </w:p>
    <w:p>
      <w:r>
        <w:rPr>
          <w:b/>
        </w:rPr>
        <w:t>E. 6</w:t>
      </w:r>
    </w:p>
    <w:p>
      <w:r>
        <w:t>Par ordonnance du 30 avril 2019, la CPAR a ordonné le maintien en détention de l'appelant pour des motifs de sûreté, de sorte qu'il n'y a pas lieu d'y revenir ici.</w:t>
      </w:r>
    </w:p>
    <w:p>
      <w:r>
        <w:rPr>
          <w:b/>
        </w:rPr>
        <w:t>E. 7</w:t>
      </w:r>
    </w:p>
    <w:p>
      <w:r>
        <w:t>2. Il n'y a pas lieu de faire droit à ses conclusions en indemnisation au sens de l'art. 429 CPP.</w:t>
      </w:r>
    </w:p>
    <w:p>
      <w:r>
        <w:rPr>
          <w:b/>
        </w:rPr>
        <w:t>E. 7.1</w:t>
      </w:r>
    </w:p>
    <w:p>
      <w:r>
        <w:t>L'appelant, qui succombe, supportera les frais de la procédure envers l'État, comprenant un émolument de CHF 2'500.- (art. 428 CPP et art. 14 al. 1 let. e du Règlement fixant le tarif des frais en matière pénale ; E 4 10.03).</w:t>
      </w:r>
    </w:p>
    <w:p>
      <w:r>
        <w:rPr>
          <w:b/>
        </w:rPr>
        <w:t>E. 8</w:t>
      </w:r>
    </w:p>
    <w:p>
      <w:r>
        <w:t>8.1.1.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chef d'étude CHF 200.- (let. c), TVA due en sus en cas d'assujettissement. 8.1.2.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(M. VALTICOS / C. reiser / B. CHAPPUIS (éds), Commentaire romand, Loi fédérale sur la libre circulation des avocats , Bâle 2010, n. 257 ad art. 12). 8.1.3.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8.1.4.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8.1.5.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8.2</w:t>
      </w:r>
    </w:p>
    <w:p>
      <w:r>
        <w:t>En l'occurrence, il convient de retrancher de l'état de frais soumis la seconde visite à l'appelant à la prison au mois d'avril 2019, seule une visite mensuelle étant admissible. Au surplus, la prise de connaissance du jugement entrepris est une prestation comprise dans le forfait applicable pour l'activité diverse et un temps d'activité de 6h00 sera globalement pris en considération pour la préparation des débats d'appel, compte tenu du temps déjà consacré à la préparation de l'audience de jugement par le conseil, qui connaissait ainsi déjà bien le dossier. A cela s'ajoutera, en revanche, la durée des débats d'appel de 3h00. En conclusion, l'indemnité allouée à M e C______ sera arrêtée à CHF 3'306.40, correspondant à 13h30 d'activité de cheffe d'étude au tarif horaire de CHF 200.-, plus une majoration forfaitaire de 10% l'activité indemnisée depuis la première instance excédant 30 heures , la vacation à l'audience d'appel de CHF 100.- et l'équivalent de la TVA au taux de 7.7% en CHF 236.40.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