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P/9126/2019 vom 9. Juli 2019</w:t>
      </w:r>
    </w:p>
    <w:p>
      <w:r>
        <w:t>GE Cour de justice, 2019-07-09, FR</w:t>
      </w:r>
    </w:p>
    <w:p>
      <w:r>
        <w:rPr>
          <w:b/>
        </w:rPr>
        <w:t xml:space="preserve">Quelle: </w:t>
      </w:r>
      <w:r>
        <w:t>https://mcp.opencaselaw.ch/entscheid/ge_gerichte_P_9126_2019</w:t>
      </w:r>
    </w:p>
    <w:p>
      <w:r>
        <w:t>FR: GE_GERICHTE P/9126/2019 du 9 juillet 2019</w:t>
      </w:r>
    </w:p>
    <w:p>
      <w:r>
        <w:t>IT: GE_GERICHTE P/9126/2019 del 9 luglio 2019</w:t>
      </w:r>
    </w:p>
    <w:p>
      <w:pPr>
        <w:pStyle w:val="Heading2"/>
      </w:pPr>
      <w:r>
        <w:t>Regeste</w:t>
      </w:r>
    </w:p>
    <w:p>
      <w:r>
        <w:t>DÉFENSE D'OFFICE;CAS BÉNIN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du recourant, non examinée par le Ministère public dans l'ordonnance querellée, peut rester ouverte, au vu des considérations qui suivent. Le recourant étant exposé à une peine pécuniaire de 120 jours-amende, le cas est de peu de gravité au sens de l'art. 132 al. 3 CPP. L'examen des circonstances du cas d'espèce ne permet en outre pas de retenir qu'il présenterait des difficultés particulières, du point de vue de l'établissement des faits ou des questions juridiques soulevées, que le recourant n'aurait pas été en mesure de résoudre seul. En effet, les faits et dispositions légales applicables sont clairement circonscrits et sont d'une compréhension simple, quelle que soit la langue dans laquelle le recourant s'exprime. Celui-ci a du reste parfaitement compris ce qui lui était reproché et a donné des explications suffisamment circonstanciées à la police puis au Ministère public, et ce en présence d'un traducteur en langue anglaise. Il a également été en mesure de détailler sa situation personnelle et financière. Quoi qu'il en soit, le recourant ne saurait prétendre que le déroulement de la procédure pénale et ses enjeux ne lui seraient pas familiers, ayant déjà dû comparaître et se défendre à deux reprises d'accusations semblables, qui avaient également été tranchées par voie d'ordonnance pénale, soit la même issue qu'en l'espèce. En outre, le fait de solliciter l'audition d'un témoin, avec lequel une transaction aurait été effectuée, ne nécessitait pas l'assistance d'un conseil, ni pour l'entendre le cas échéant, eu égard à l'absence de difficulté particulière au sujet des faits. De même, il était tout à fait capable de solliciter le retrait d'un procès-verbal et la diminution du montant du jours-amende dont la quotité fixée par les précédentes ordonnances pénale figure à l'extrait de casier judiciaire. Enfin, le cas étant de peu de gravité, le recourant ne saurait tirer aucun argument de l'amende prononcée, même dans l'hypothèse d'une conversion en trois jours de peine privative de liberté.</w:t>
      </w:r>
    </w:p>
    <w:p>
      <w:r>
        <w:rPr>
          <w:b/>
        </w:rPr>
        <w:t>E. 4</w:t>
      </w:r>
    </w:p>
    <w:p>
      <w:r>
        <w:t>Justifiée, l'ordonnance querellée sera donc confirmée.</w:t>
      </w:r>
    </w:p>
    <w:p>
      <w:r>
        <w:rPr>
          <w:b/>
        </w:rPr>
        <w:t>E. 5</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