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P/9123/2016 vom 7. September 2021</w:t>
      </w:r>
    </w:p>
    <w:p>
      <w:r>
        <w:t>GE Cour de justice, 2021-09-07, FR</w:t>
      </w:r>
    </w:p>
    <w:p>
      <w:r>
        <w:rPr>
          <w:b/>
        </w:rPr>
        <w:t xml:space="preserve">Quelle: </w:t>
      </w:r>
      <w:r>
        <w:t>https://mcp.opencaselaw.ch/entscheid/ge_gerichte_P_9123_2016</w:t>
      </w:r>
    </w:p>
    <w:p>
      <w:r>
        <w:t>FR: GE_GERICHTE P/9123/2016 du 7 septembre 2021</w:t>
      </w:r>
    </w:p>
    <w:p>
      <w:r>
        <w:t>IT: GE_GERICHTE P/9123/2016 del 7 settembre 2021</w:t>
      </w:r>
    </w:p>
    <w:p>
      <w:pPr>
        <w:pStyle w:val="Heading2"/>
      </w:pPr>
      <w:r>
        <w:t>Regeste</w:t>
      </w:r>
    </w:p>
    <w:p>
      <w:r>
        <w:t>ORDONNANCE DE CLASSEMENT;FRAIS DE LA PROCÉDURE;FAUTE;LIEN DE CAUSALITÉ | CPP.426.al2; CPP.430</w:t>
      </w:r>
    </w:p>
    <w:p>
      <w:pPr>
        <w:pStyle w:val="Heading2"/>
      </w:pPr>
      <w:r>
        <w:t>Erwägungen</w:t>
      </w:r>
    </w:p>
    <w:p>
      <w:r>
        <w:rPr>
          <w:b/>
        </w:rPr>
        <w:t>E. 1</w:t>
      </w:r>
    </w:p>
    <w:p>
      <w:r>
        <w:t>Le recours est recevable pour avoir été déposé selon la forme et dans le délai prescrits (art. 385 al. 1 et 396 al. 1 CPP), concerner des points d'une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conteste la mise à sa charge des frais liés au classement de la procédure.</w:t>
      </w:r>
    </w:p>
    <w:p>
      <w:r>
        <w:rPr>
          <w:b/>
        </w:rPr>
        <w:t>E. 2.1</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p. 206). Elle couvre en particulier les honoraires de ce conseil,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w:t>
      </w:r>
    </w:p>
    <w:p>
      <w:r>
        <w:rPr>
          <w:b/>
        </w:rPr>
        <w:t>E. 2.2</w:t>
      </w:r>
    </w:p>
    <w:p>
      <w:r>
        <w:t>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p. 357).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(Message relatif à l'unification du droit de la procédure pénale du 21 décembre 2005, FF 2006 1057, p. 1313). Il est donc concevable d'indemniser, dans une mesure réduite, le prévenu qui doit supporter l'ensemble des frais de justice (Y. JEANNERET / A. KUHN / C. PERRIER DEPEURSINGE (éds), op.cit ., n. 5 ad art. 430 CPP).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(art. 430 CPP a contrario ).</w:t>
      </w:r>
    </w:p>
    <w:p>
      <w:r>
        <w:rPr>
          <w:b/>
        </w:rPr>
        <w:t>E. 2.3</w:t>
      </w:r>
    </w:p>
    <w:p>
      <w:r>
        <w:t>Selon la jurisprudence relative à l'art. 426 al. 2 CPP, mais applicable par analogie à l'art. 430 al. 1 let. a CPP (arrêt du Tribunal fédéral 6B_77/2013 du 4 mars 2013 consid. 2.3),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144 IV 202 consid. 2.2; 119 Ia 332 consid. 1b ; 116 Ia 162 consid. 2c).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précité; arrêt du Tribunal fédéral 6B_301/2017 précité consid. 1.1).</w:t>
      </w:r>
    </w:p>
    <w:p>
      <w:r>
        <w:rPr>
          <w:b/>
        </w:rPr>
        <w:t>E. 2.4</w:t>
      </w:r>
    </w:p>
    <w:p>
      <w:r>
        <w:t>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(arrêt du Tribunal fédéral 6B_429/2017 du 14 février 2018 consid. 5.1 et 6B_385/2017 du 5 décembre 2017 consid. 2.3). La mise des frais à la charge du prévenu en cas d'acquittement ou de classement de la procédure doit en effet rester l'exception (ATF 144 IV 202 consid. 2.2; 116 Ia 162 consid. 2c). La prescription, comme motif de libération, n'est pas incompatible avec la condamnation aux frais du prévenu, mais celle-ci ne doit pas se fonder sur le reproche pénal (M. NIGGLI / M. HEER / H. WIPRÄCHTIGER, Schweizerische Strafprozessordnung / Schweizerische Jugendstrafprozessordnung, Basler Kommentar StPO/JStPO, Bâle 2011, n. 38 ad art. 426 et les références citées).</w:t>
      </w:r>
    </w:p>
    <w:p>
      <w:r>
        <w:rPr>
          <w:b/>
        </w:rPr>
        <w:t>E. 2.5</w:t>
      </w:r>
    </w:p>
    <w:p>
      <w:r>
        <w:t>En vertu du devoir de diligence prévu à l'art. 321a CO, le travailleur doit exécuter avec soin le travail qui lui est confié. Le travailleur a également l'obligation de sauvegarder fidèlement les intérêts légitimes de l'employeur (art. 321a al. 1 CO). Les " intérêts légitimes" de l’employeur, que le travailleur doit fidèlement sauvegarder dans le cadre de son devoir de loyauté, sont essentiellement ses intérêts financiers. C’est ainsi que l’on définit, de manière large, le devoir de loyauté comme l’abstention de tout acte susceptible de porter économiquement préjudice à l’employeur (L. THEVENOZ / F. WERRO (éds), Commentaire romand : Code des obligations I , 2 ème éd., Bâle 2012, n.10 ad art. 321a). Le devoir de loyauté comprend également un devoir d’information et de renseignements à charge du travailleur, qui l’astreint notamment à avertir l’employeur d’éventuels dommages imminents, de perturbations dans l’exécution du travail et d’autres irrégularités ou abus (L. THEVENOZ / F. WERRO (éds), op.cit., n.11 ad art. 321a et les références citées). Il commande aussi au travailleur de s'abstenir à inciter d'autres collaborateurs à adopter un comportement répréhensible envers l'employeur (R. WYLER /B. HEINZER (éds), Droit du travail , 4 ème éd., Berne 2019, pp. 115-116).</w:t>
      </w:r>
    </w:p>
    <w:p>
      <w:r>
        <w:rPr>
          <w:b/>
        </w:rPr>
        <w:t>E. 2.6</w:t>
      </w:r>
    </w:p>
    <w:p>
      <w:r>
        <w:t>En l'espèce, la recourante a admis avoir reçu, alors qu'elle travaillait pour le compte de D______ AG, une paire de lunettes de soleil de F______, bien qu'elle sût que celle-ci avait été volée par le précité à leur employeur. À cet égard, elle a précisé avoir fait part de son intérêt pour ledit bien à son collègue et reconnaît ne pas l'avoir découragé de le dérober pour elle. Par ailleurs, il résulte de ses déclarations qu'elle a procédé à la vente de produits cosmétiques et de parfums obtenus ou reçus dans le cadre de son activité, se procurant ainsi un bénéfice à l'insu de son employeur, alors même qu'elle savait qu'elle n'y était pas autorisée. Il est dès lors manifeste qu'elle a, de par ses agissements, non seulement manqué à son devoir de fidélité, en portant atteinte aux intérêts pécuniaires de son employeur, mais également incité un collègue à adopter un comportement répréhensible. La recourante ne pouvait raisonnablement ignorer, et n'ignorait d'ailleurs pas, que ses actes étaient contraires aux intérêts de son employeur et qu'ils étaient susceptibles de causer à celui-ci un préjudice important. En agissant de la manière sus-décrite, la recourante a dès lors généré le soupçon de la commission d'infraction(s) contre le patrimoine de la société plaignante. En effet, l'appropriation par ses soins, le cas échéant avec le concours notamment de F______, de biens plus nombreux qu'une paire de lunettes et appartenant à son employeur pouvait, au début de l'instruction, être envisagée. Il résulte en outre du dossier qu'elle a selon toute vraisemblance emporté à son domicile un nombre important de produits cosmétiques sans l'accord préalable de son manager, en violation des directives de la société plaignante. Eu égard à ses aveux et aux éléments précités, le fait, pour la recourante, d'avoir accumulé une importante quantité de marchandises de son employeur à son domicile était propre à créer l'apparence d'une acquisition illicite de ces produits, au détriment de la société plaignante. Force est ainsi de constater que la recourante a adopté un comportement contraire aux directives et autres dispositions légales auxquelles elle était tenue dans l'exercice de son activité. Quand bien même sa responsabilité pénale n'a pas été retenue, elle s'est toutefois rendue coupable d'agissements contraires à ses obligations professionnelles de diligence et de fidélité. Les apparences créées par la recourante ayant, pour partie à tout le moins, perduré au cours de l'enquête pénale, le Ministère public était légitimé à poursuivre ses investigations jusqu'au prononcé de l'ordonnance de classement, afin de s'assurer que des infractions au préjudice de la société plaignante n'avaient pas été commises. Le lien de causalité adéquate est donc avéré et la recourante ne saurait reprocher à l'autorité précédente d'avoir procédé par excès de zèle ou précipitation. Par ailleurs, les actes d'instruction effectués étaient en parfaite adéquation avec l'importance des infractions dont était soupçonnée la prévenue. Au surplus, l'instruction portant sur les soupçons en lien avec la découverte d'une trentaine de sacs à main de marques de luxe et de produits cosmétiques au domicile de la recourante n'a pas eu une importance prépondérante. Au regard de ces considérations, l'imputation, par le Procureur, des frais de la cause à la recourante est exempte de critique dans son résultat, même si l'ordonnance de classement ne mentionne pas les soupçons en lien avec le vol de cosmétiques et de sacs de marque. Quant à leur montant, arrêté à CHF 740.-, il n'apparaît pas critiquable, puisque les actes d'enquête réalisés l'ont été en lien direct avec la violation des normes de comportement précitées et étaient propres à faire avancer l'enquête. Finalement, l'application de l'art. 426 al. 2 CPP peut, à la lumière des principes sus-évoqués, découler de la violation d'une obligation relevant du seul droit privé. Ignorer, soit écarter, en pareil cas tout effet éventuel de la prescription ne constitue donc pas une violation de la présomption d'innocence, qui laisserait entendre que la recourante serait néanmoins coupable des infractions qui lui ont été reprochées. Le grief y relatif est dès lors dénué de fondement. Partant, l'ordonnance querellée ne prête pas le flanc à la critique et sera donc confirmée sur ce point.</w:t>
      </w:r>
    </w:p>
    <w:p>
      <w:r>
        <w:rPr>
          <w:b/>
        </w:rPr>
        <w:t>E. 3</w:t>
      </w:r>
    </w:p>
    <w:p>
      <w:r>
        <w:t>La recourante se prévaut d'une violation de l'art. 430 al.1 let. a CPP et conclut au versement d'une indemnité de 6'992.95 au total, à titre de frais de défense.</w:t>
      </w:r>
    </w:p>
    <w:p>
      <w:r>
        <w:rPr>
          <w:b/>
        </w:rPr>
        <w:t>E. 3.1</w:t>
      </w:r>
    </w:p>
    <w:p>
      <w:r>
        <w:t>L'art. 430 al. 1 let. a CPP est le pendant de l'art. 426 al. 2 CPP en matière de frais. L'application de cette dernière disposition exclut, en principe, le droit à une indemnisation. La question de l'indemnisation doit être tranchée après celle des frais. Dans cette mesure, la décision sur ceux-ci préjuge du sort de celle-là. Il en résulte qu'en cas de condamnation aux frais, il n'y a pas lieu d'octroyer une indemnité au sens de l'art. 429 al. 1 CPP (ATF 137 IV 352 consid. 2.4.2; arrêt du Tribunal fédéral 6B_1268/2018 du 15 février 2019 consid. 4.1).</w:t>
      </w:r>
    </w:p>
    <w:p>
      <w:r>
        <w:rPr>
          <w:b/>
        </w:rPr>
        <w:t>E. 3.2</w:t>
      </w:r>
    </w:p>
    <w:p>
      <w:r>
        <w:t>En l'espèce, la recourante a été astreinte au paiement des frais en application de l'art. 426 al. 2 CPP. Dès lors que la réglementation relative à l'indemnisation suit celle se rapportant aux frais, le refus du Procureur de dédommager l'intéressée ne prête nullement le flanc à la critique.</w:t>
      </w:r>
    </w:p>
    <w:p>
      <w:r>
        <w:rPr>
          <w:b/>
        </w:rPr>
        <w:t>E. 4</w:t>
      </w:r>
    </w:p>
    <w:p>
      <w:r>
        <w:t>Justifiée, l'ordonnance querellée sera donc confirmée.</w:t>
      </w:r>
    </w:p>
    <w:p>
      <w:r>
        <w:rPr>
          <w:b/>
        </w:rPr>
        <w:t>E. 5</w:t>
      </w:r>
    </w:p>
    <w:p>
      <w:r>
        <w:t>La recourante, qui succombe, supportera les frais envers l'État, qui seront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