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P/9109/2020 vom 5. Mai 2022</w:t>
      </w:r>
    </w:p>
    <w:p>
      <w:r>
        <w:t>GE Cour de justice, 2022-05-05, FR</w:t>
      </w:r>
    </w:p>
    <w:p>
      <w:r>
        <w:rPr>
          <w:b/>
        </w:rPr>
        <w:t xml:space="preserve">Quelle: </w:t>
      </w:r>
      <w:r>
        <w:t>https://mcp.opencaselaw.ch/entscheid/ge_gerichte_P_9109_2020</w:t>
      </w:r>
    </w:p>
    <w:p>
      <w:r>
        <w:t>FR: GE_GERICHTE P/9109/2020 du 5 mai 2022</w:t>
      </w:r>
    </w:p>
    <w:p>
      <w:r>
        <w:t>IT: GE_GERICHTE P/9109/2020 del 5 maggio 2022</w:t>
      </w:r>
    </w:p>
    <w:p>
      <w:pPr>
        <w:pStyle w:val="Heading2"/>
      </w:pPr>
      <w:r>
        <w:t>Regeste</w:t>
      </w:r>
    </w:p>
    <w:p>
      <w:r>
        <w:t>LOI COVID-19;PRÊT DE CONSOMMATION;ESCROQUERIE;FAUX INTELLECTUEL DANS LES TITRES | CP.146; CP.251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2.2.1. A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2.2.2.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p. 304s ; 142 IV 153 consid. 2.2.2 p. 154s ; 135 IV 76 consid. 5.2 p. 79 s.). Il y a notamment astuce lorsque l'auteur recourt à une mise en scène comportant des documents ou des actes ou à un échafaudage de mensonges qui se recoupent de façon si raffinée que même une victime critique se laisserait tromper. Il y a manoeuvre frauduleuse, par exemple, si l'auteur emploie un document faux ou fait intervenir, à l'appui de sa tromperie, un tiers participant ou manipulé (ATF 135 IV 76 consid. 5.2 p. 79 ; 122 IV 197 consid. 3d p. 205).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p. 306s ; 142 IV 153 consid. 2.2.2 p. 155 ; 135 IV 76 consid. 5.2 p. 81). L'astuce sera également admise lorsque l'auteur exploite un rapport de confiance préexistant propre à dissuader la dupe d'effectuer certaines vérifications (ATF 126 IV 165 consid. 2a p. 171 ; ATF 125 IV 124 consid. 3a p. 127 s. et les références ; ATF 122 IV 246 consid. 3a p. 248 ; par ex. arrêt du Tribunal fédéral 6B_130/2016 du 21 novembre 2016 consid. 2.2.2). Pour que le crime d'escroquerie soit consommé, l'erreur dans laquelle la tromperie astucieuse a mis ou conforté la dupe doit avoir déterminé celle-ci à accomplir un acte préjudiciable à ses intérêts pécuniaires ou à ceux d'un tiers. Celui qui promet une prestation sans avoir l'intention de l'exécuter agit astucieusement parce qu'en promettant, il donne le change sur ses véritables intentions, ce que sa victime est dans l'impossibilité de vérifier (ATF 118 IV 359 consid. 2 p. 360 s.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p. 127). Il est trop schématique d'affirmer que la volonté affichée est un phénomène intérieur invérifiable et qu'une tromperie relative à cette volonté est toujours astucieuse (ATF 118 IV 359 consid. 2 p. 361 ; arrêt du Tribunal fédéral 6B_584/2018 du 30 août 2018 consid. 2.1).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sa solvabilité ; l'escroquerie a donc été niée (ATF 142 IV 153 consid. 2.2.4 ; arrêt du Tribunal fédéral 6B_584/2018 du 30 août 2018 consid. 2.1). L'emprunteur qui a l'intention de rembourser son bailleur de fonds n'agit pas astucieusement lorsqu'il ne l'informe pas spontanément de son insolvabilité (ATF 86 IV 205 ). Il en va en revanche différemment lorsque l'auteur présente une fausse vision de la réalité de manière à dissuader le prêteur de se renseigner sur sa situation financière ou lorsque des circonstances particulières font admettre à l'auteur que le prêteur ne posera pas de questions sur ce point (ATF 86 IV 206 ; arrêts du Tribunal fédéral 6B_817/2018 du 23 octobre 2018 consid. 2.4.1 et les références ; 6P_113/2006 du 27 septembre 2006 consid. 6.1). L'escroquerie n'est consommée que s'il y a un dommage (arrêts du Tribunal fédéral 6B_130/2016 du 21 novembre 2016 consid. 2.1 et 6B_552/2013 du 9 janvier 2014 consid. 2.3.2 ; CORBOZ, Les infractions en droit suisse , N 32 ad art. 146 CP). Celui-ci est réalisé lorsque l'on se trouve en présence d'une lésion du patrimoine sous la forme d'une diminution de l'actif, d'une augmentation du passif, d'une non-augmentation de l'actif ou d'une non-diminution du passif. Un dommage temporaire ou provisoire est suffisant (ATF 122 IV 279 consid. 2a p. 281; arrêt 6B_1054/2010 du 16 juin 2011 consid. 2.2.1). Il y a lieu d'admettre un dommage temporaire dans le cas où le dommage est concrétisé au moment de la signature de l'acte préjudiciable aux intérêts pécuniaires même si celui-ci est par la suite compensé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Dans un arrêt récent le Tribunal fédéral a ainsi jugé, dans le cas d'un emprunteur ayant donné à la banque de fausses informations sur sa situation financière, que le dommage était intervenu au moment de l'octroi du prêt, dès lors que la créance qui avait été cédée à un établissement tiers, aurait pu l'être beaucoup plus facilement et efficacement si les informations données par le client avaient été véridiques - et cela même si le prêt avait en définitive été remboursé conformément au contrat (arrêt du Tribunal fédéral 6B_112/2018 du 4 mars 2019, consid 6.2.2).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2.3.1.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 2.3.2. 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p. 15 ; 142 IV 119 consid. 2.1 p. 221 ; 138 IV 130 consid. 2.1 p. 134 ; arrêt du Tribunal fédéral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p. 14 ; 129 IV 130 consid. 2.1 p. 133). Ainsi, par exemple, un formulaire A, simple déclaration écrite non sujette à vérification, dont le contenu est inexact quant à la personne de l'ayant-droit économique, constitue un faux dans les titres au sens de l'art. 251 CP (arrêts du Tribunal fédéral 6B_383/2019 du 8 novembre 2019 consid. 8.3.3.2 non publié aux ATF 145 IV 470 ; 6B_261/2020 du 10 juin 2020 consid. 4.2 ; 6B_891/2018 du 31 octobre 2018 consid. 3.3.1). Un contrat en la forme écrite simple, dont le contenu est faux, ne constitue un faux intellectuel que s'il existe des garanties spéciales que les déclarations concordantes des parties correspondent à leur volonté réelle. Il faudrait que les signataires se trouvent dans une position de quasi-garant à l'égard des personnes induites en erreur (ATF 146 IV 258 consid. 1.1.1 p. 261 ; 123 IV 61 consid. 5c/cc p. 68 s. ; ATF 120 IV 25 consid. 3f p. 29). Le fait qu'un contrat de vente au contenu faux ait été rédigé par la fiduciaire du vendeur ne suffit pas à lui conférer une valeur probante accrue (ATF 146 IV 258 consid. 1.2.4 p. 265). 2.3.3. 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p. 15).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 arrêt du Tribunal fédéral 6B_496/2017 du 24 janvier 2018 consid. 2.2). La notion d'avantage est très large. Elle vise tout type d'avantage, d'ordre matériel ou immatériel, qui peut être destiné à l'auteur lui-même ou à un tiers (ATF 129 IV 53 consid. 3.5 p. 60 ; arrêt du Tribunal fédéral 6B_116/2017 du 9 juin 2017 consid. 2.2.3). Le caractère illicite de l'avantage ne requiert ni que l'auteur ait l'intention de porter préjudice, ni que l'obtention d'un avantage soit punissable au titre d'une autre infraction (ATF 129 IV 53 consid. 3.3 p. 58).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p. 270s ; arrêts du Tribunal fédéral 6B_891/2018 du 31 octobre 2018 consid. 3.5.1 ; 6B_116/2017 du 9 juin 2017 consid. 2.2.3). L'illicéité peut donc être déduite du seul fait que l'auteur recourt à un faux (arrêts du Tribunal fédéral 6B_441/2016 du 29 mars 2017 consid. 6.2 ; 6B_367/2007 du 10 octobre 2007 consid. 4.4 non publié in ATF 133 IV 303 ). 2.4.1. Dans le contexte de la pandémie de coronavirus (COVID-19), les autorités fédérales ont pris de nombreuses mesures fondées sur le droit d'urgence (art. 185 al. 3 Cst.) et notamment des mesures visant à atténuer les conséquences économiques de la pandémie. Dans ces circonstances, l'OCaS-COVID-19 a été adoptée le 25 mars 2020 et est entrée en vigueur le lendemain. Selon le communiqué de presse du Conseil fédéral publié le même jour, la Confédération mettait sur pied un programme de garantie (...) visant à ce que les PME affectées (entreprises individuelles, sociétés de personnes et personnes morales) obtiennent des crédits bancaires transitoires (...). L'objectif était de permettre aux entreprises concernées d'accéder rapidement et simplement à des crédits représentant jusqu'à 10% de leur chiffre d'affaires ou d'un montant de CHF 20'000'000.- au plus. La Confédération garantissait aux banques prêteuses, par l'intermédiaire des organisations de cautionnement, la totalité du montant des crédits accordés aux PME selon le mécanisme mis en place par l'ordonnance, qui imposait notamment aux banques d'utiliser exclusivement, pour l'octroi du crédit, un formulaire type mis en ligne par le secrétariat d'Etat à l'économie (SECO), sans modification aucune. La banque devait refuser d'accorder le crédit si la demande du preneur de crédit n'avait pas été entièrement remplie ( cf . annexe 1 OCaS-COVID-19, art. 3.1 et 2.3). Selon le commentaire de l'Administration fédérale des finances (AFF), publié avec l'OCaS-COVID-19, pour les crédits COVID-19 allant jusqu'à CHF 500'000.-, la Confédération prenait en charge le risque de perte totale, plus un intérêt annuel. Grâce à cette couverture, la banque pouvait appliquer une procédure sommaire, en se bornant à vérifier sur le requérant était client et s'il remplissait les conditions pour bénéficier d'un crédit COVID-19 sur l'unique base de sa déclaration. Si les conditions étaient remplies, la banque envoyait la convention de crédit aux organisations de cautionnement et pouvait mettre les fonds à disposition immédiatement. En principe, la libération des fonds du crédit entraînait également l'entrée en vigueur du cautionnement. Cette procédure simplifiée était destinée à fournir une aide d'urgence rapidement et sans formalités. 2.4.2. L'OCaS-COVID-19 comporte en son art. 23 une disposition pénale punissant d'une amende de CHF 100'000.- au plus quiconque, intentionnellement, obtient un crédit en vertu de la présente ordonnance en fournissant de fausses indications ou utilise les fonds en dérogation à l'art. 6, al. 3, à moins qu'il n'ait commis une infraction plus grave au sens du code pénal. Le commentaire de l'Administration fédérale des finances (AFF), publié avec l'OCaS-COVID-19 précise à ce sujet que les crédits visés à l'art. 3 sont généralement octroyés sans contrôle des indications fournies par le requérant, et même pour les crédits visés à l'art. 4, qui sont urgents dans la plupart des cas, il n'est pas garanti que les contrôles habituels puissent être faits. Il est donc opportun de soumettre à une sanction pénale l'obtention frauduleuse des crédits et le non-respect des restrictions d'utilisation des fonds visés par l'ordonnance. Cela est d'autant plus important qu'il n'est pas sûr qu'on puisse faire valoir facilement les traditionnels éléments constitutifs de l'escroquerie et de faux dans les titres. En ce qui concerne l'escroquerie au sens de l'art. 146 CP, il s'agirait notamment de se demander si une simple fausse déclaration du requérant compte tenu de l'absence de contrôle peut être qualifiée de dol. On peut partir du principe qu'il n'y a généralement pas de faux dans les titres au sens de l'art. 251 CP, car les informations fournies par le requérant n'ont pas valeur de titre. Si les autorités de poursuite pénale et les tribunaux devaient néanmoins retenir l'existence d'une infraction pénale plus grave en ce qui concerne l'ordonnance sur les cautionnements solidaires, les éléments constitutifs d'une infraction au CP primeraient sur la disposition pénale de l'art. 23. L'infraction nouvellement établie dans l'ordonnance s'apparente en particulier à la soustraction d'impôt en ce qui concerne la manière dont elle est commise et les biens juridiques protégés (...). Dans les deux cas, le contrevenant veut obtenir un avantage pécuniaire par son comportement aux dépens de la collectivité (dans ce cas, un prêt auquel il n'a pas droit selon l'ordonnance ou, dans le domaine fiscal, par exemple la restitution d'impôt illégale). Dans les deux cas, il n'y a pas non plus d'infraction qualifiée (en particulier, pas de faux dans les titres) à laquelle s'appliquent des éléments constitutifs plus stricts. Par analogie avec le droit fiscal, il est donc justifié que l'obtention frauduleuse d'un crédit en fournissant intentionnellement de fausses indications constitue également une infraction passible d'amende. Compte tenu des montants des crédits, qui peuvent être non négligeables, l'amende maximale peut atteindre CHF 100'000.- (également par analogie avec les dispositions pénales en matière fiscale). En revanche, une sanction de l'acte de négligence n'est pas prévue, car les demandes à présenter selon l'ordonnance sont inédites et le requérant inexpérimenté peut très bien commettre, en les remplissant, une erreur évitable en tant que telle. 2.4.3. La doctrine qui s'est penchée sur la question, notamment B. MÄRKLI et L. GUT ( Missbrauch von Krediten nach COVID-19-Solidarbürgschaftsverordnung , in Pratique Juridique Actuelle 6/2020 p.722ss), relève que dans le cas d'une demande de crédit COVID-19, l'astuce peut résulter de simples mensonges sur la nécessité du crédit (fausses déclarations sur des éléments selon l'art. 3 al. 1 lit. a-d de l'Ordonnance). En effet, l'urgence rend impossible la vérification du mensonge, ce que le preneur de crédit sait pertinemment en raison des circonstances. Par ailleurs, le fait que les prêts sont généralement obtenus auprès de la banque principale permet également de considérer qu'une relation de confiance existe dans ces cas avec la banque. En définitive, la coresponsabilité de la banque est éliminée par le mécanisme mis en place par le législateur et la responsabilité pénale de l'art. 146 CP doit être évaluée au cas par cas. De même, ces auteurs retiennent que le formulaire de prêt COVID-19 peut être considéré comme un titre, puisque celui-ci fonde l'existence de la dette de l'emprunteur vis-à-vis de la banque, de sorte que les informations communiquées dans ledit formulaire entraînent une conséquence juridique considérable. Si l'emprunteur demande un prêt COVID-19 en fournissant de fausses informations, il pourrait être poursuivi pour faux dans les titres au sens de l'art. 251 CP, tout en laissant la question ouverte au vu de la jurisprudence restrictive en matière de faux intellectuel. 2.4.4. L'art. 23 OCaS-COVID-19 ne constitue manifestement pas une lex specialis par rapport à d'autres dispositions pénales : le texte même de cette disposition (« à moins qu'il n'ait commis une infraction plus grave au sens du code pénal ») pose le principe de sa subsidiarité. Tentative d'escroquerie 2.5.1. L'appelante conteste en premier lieu avoir adressé à la Banque deux demandes pour G______ SA dans le but d'obtenir deux crédits COVID-19 distincts. Selon ses explications constantes, elle a envoyé la seconde demande " CRÉDIT COVID-19 " en remplacement de la première (la demande " CRÉDIT PLUS COVID-19 "), après que la Banque l'avait informée de ce qu'elle n'était pas lisible. Les deux formulaires soumis à la Banque sont datés du 26 mars 2020 et signés par A______, l'un étant toutefois destiné aux demandes de crédits COVID-19 usuelles et l'autre aux prêts PLUS COVID-19. Aucune indication ne figure sur ces demandes ou n'a été fournie par la Banque concernant la date d'envoi et/ou de réception par celle-ci de ces documents. L'échange d'e-mails entre l'appelante et H______ daté du 28 mars 2020 ne répond pas à cette question mais confirme néanmoins que la Banque a effectivement rencontré un problème avec l'une ou l'autre des demandes effectuées par A______. Le peu d'éléments à disposition permet d'émettre plusieurs hypothèses sur le déroulement des faits. Ni la possibilité d'un envoi simultané des formulaires le 26 mars 2020 avec un retour de H______ sur l'un d'entre eux le 28 mars, ni celle que les faits se soient déroulés comme l'a expliqué l'appelante, ne peuvent totalement être exclues. L'usage de différents formulaires ne peut être attribué avec certitude ni à une intention de s'enrichir davantage, ni à une inattention de l'appelante. En vertu du principe in dubio pro reo , la version de l'appelante, qui lui est plus favorable, sera retenue en sa faveur. Elle sera dès lors acquittée du chef de tentative d'escroquerie en lien avec les faits visés au point 1.2 de l'acte d'accusation. Escroquerie 2.5.2.1. L'appelante affirme que les informations figurant sur les formulaires CRÉDIT COVID-19 rempli pour le compte de G______ SA et de sa raison individuelle étaient conformes à la vérité. Elle soutient également avoir dûment fait usage des fonds reçus sur la base de ces demandes, tout en ayant toujours eu l'intention de rembourser la Banque. Ses déclarations se heurtent aux éléments objectifs du dossier, les masses salariales et chiffres d'affaires saisis dans les demandes n'étant corroborés par aucune pièce. Aucune déclaration de salaire 2020 destinée à C______ ne figure au dossier, si bien que l'on ignore sur quelles informations se fonde le calcul des cotisations 2020, en particulier comment la masse salariale a été arrêtée. L'ensemble des salaires mentionnés dans la déclaration C______ 2019 de G______ SA ne permet pas de déboucher sur une masse salariale de CHF 240'000.- ( cf . supra B.k), ce d'autant qu'en 2020 l'appelante a continué à percevoir les indemnités perte de gain de V______ en raison d'une incapacité de travail qu'elle savait durable et qu'aucun cuisinier n'a été employé par G______ SA pendant la plus grande partie de l'année 2019, pas plus qu'en 2020, aucun élément n'étant produit en ce sens. Les demandes RHT ne constituent pas non plus des éléments probants, puisque l'appelante y a notamment mentionné un salaire de CHF 5'500.- pour son fils, qui n'a en réalité jamais travaillé pour G______ SA, ainsi qu'un salaire de CHF 7'500.- pour elle-même alors qu'elle était en incapacité de travail. Les reçus retrouvés dans les affaires de l'appelante ne lui sont d'aucune aide. Ils laissent apparaître qu'elle a pu verser très ponctuellement des salaires en liquide à des employés de bar, manifestement non déclarés, sans qu'il ne soit au demeurant possible de les mensualiser ou les annualiser vu les quelques dates concernées. Cela ne témoigne pas d'une activité un tant soit peu régulière. L'appelante a elle-même expliqué que, sur plus d'une année (selon les données de C______), soit de fin mai 2019 à juin 2020, elle n'a eu recours à un cuisinier en " extra " qu'à l'occasion d'un ou deux week-ends sur un ou deux mois en tout et pour tout, alors même que les établissements publics n'ont été fermés qu'entre la mi-mars et le 31 mai 2020. Quand bien même il s'agissait, dans la demande de prêt, d'estimer la masse salariale pour un exercice, l'appelante ne pouvait pas se contenter de reproduire le montant figurant dans le décompte C______ sans fondement. Elle n'a produit aucun contrat de travail, fiche de salaire, ou autre document susceptible de conduire à considérer qu'elle n'a pas surestimé la masse salariale de la société, tout en ayant conscience que le montant de CHF 240'000.- ne pouvait pas correspondre à la réalité. Le montant du chiffre d'affaires de G______ SA de CHF 500'000.- n'est corroboré par aucun document versé au dossier et rien ne permet de déterminer à quoi il se serait élevé en 2019, ni même en 2018. Les éléments à disposition laissent toutefois apparaître que la situation financière de G______ SA était obérée, puisque la société ne parvenait ni à s'acquitter du loyer des locaux qu'elle occupait, ni des charges sociales auprès de C______, ce qui a d'ailleurs conduit au prononcé de sa faillite. Les explications de l'appelante pour justifier le montant saisi dans la demande de crédit sont peu crédibles. Même à considérer que le système informatique a bien automatiquement fixé le chiffre d'affaires à CHF 500'000.-, l'appelante ne pouvait qu'avoir conscience de la différence entre ce montant et la réalité, de même que ce que G______ SA pouvait valablement envisager de réaliser, étant relevé que cette estimation était déterminante pour la fixation du montant du prêt, ce qui était indiqué dans le formulaire et, partant, était connu de l'appelante. Elle disposait de la possibilité de corriger ledit montant, cas échéant à la main, ce qu'elle n'a toutefois pas fait. Elle savait dès lors qu'elle envoyait à la Banque une demande de crédit COVID-19 basée sur une estimation de chiffre d'affaires trop élevée en comparaison avec la réalité et donc, basée sur de fausses informations. 2.5.2.2. Pour ce qui est de la demande de prêt effectuée pour la raison individuelle, l'appelante n'est pas crédible lorsqu'elle affirme qu'elle souhaitait solliciter l'octroi d'un crédit " en son nom ". Elle ne pouvait en effet ignorer que l'IDE CHE-2______, qu'elle a elle-même saisi dans le formulaire, appartenait à I______, raison individuelle qu'elle savait radiée depuis le mois d'août 2019. Quand bien même le nom de la raison sociale " A______ " se serait effectivement inscrit automatiquement, ce qui n'est au demeurant pas établi, l'appelante ne pouvait d'autant plus que comprendre qu'il s'agissait de son ancienne raison sociale. La Cour considère ainsi pour établi que l'appelante a sciemment formulé une demande de crédit COVID-19 pour une raison individuelle inexistante. Pour le surplus, même à considérer que la raison individuelle figurant dans le formulaire eût été conforme, aucun élément au dossier ne permet de démontrer que l'appelante aurait déployé l'activité de traiteur dont elle s'est prévalue au moment de l'envoi de la demande de crédit COVID-19, étant observé que la raison individuelle I______ a été radiée sept mois avant ladite demande, pour cause de cessation de l'exploitation. Les montants saisis au titre de masse salariale et de chiffre d'affaires ne reposent en outre sur aucun élément probant, étant relevé que l'on perçoit mal comment l'activité occasionnelle de traiteur telle que décrite par l'appelante pouvait nécessiter le paiement, pour elle-même et le cuisinier, d'un salaire mensuel total de plus de CHF 8'000.-, étant à nouveau rappelé qu'elle percevait des indemnités perte de gain de V______ pour incapacité de travail et qu'elle a indiqué que le cuisinier partageait son activité entre sa raison individuelle et G______ SA, qui n'avait pourtant plus de cuisinier depuis la fin du premier semestre 2019 au regard du décompte C______. 2.5.2.3. Cela étant, au moment de formuler les demandes précitées, l'appelante ne pouvait qu'avoir conscience qu'elle se trouverait dans l'impossibilité de rembourser les prêts octroyés vu sa situation obérée. Tant G______ SA qu'elle-même faisaient l'objet de très nombreuses dettes – arriérés de loyers et de cotisations sociales, poursuites, actes de défaut de biens, etc. – et rencontraient d'importantes difficultés financières que la pandémie ne devait manifestement pas arranger. Dans ces circonstances, le remboursement de montants aussi importants, même sur cinq ans et par l'usage d'une partie des indemnités V______, était illusoire. Elle a ainsi, à tout le moins, envisagé l'éventualité de ne pas pouvoir rembourser les crédits, tout en sachant que la banque ne vérifierait pas sa situation financière ou celle de G______ SA préalablement à l'octroi des prêts. 2.5.2.4. S'agissant de l'utilisation des fonds reçus, il convient de relever à titre liminaire que dans la mesure où il est établi que la raison sociale figurant dans la demande datée du 5 avril 2020 est inexistante, de même que l'activité de traiteur avancée par l'appelante pour justifier le besoin de liquidités, le simple usage des fonds reçus est déjà contraire à la convention de crédit. Il convient de relever en outre que les CHF 66'000.- ont été dépensés sur un court laps de temps d'environ deux mois et qu'ils n'ont en tout cas pas servi à régler le loyer du K______. Le transfert rapide des sommes reçues sur les comptes courants de la société et de l'appelante, puis le retrait en liquide de montants importants apparaît déjà comme un procédé douteux, que l'appelante ne parvient pas à justifier de manière crédible. Si, comme elle l'affirme, son état de santé l'empêchait de se déplacer régulièrement à la banque, rien ne l'empêchait d'effectuer les paiements nécessaires par virements bancaires ou de payer par carte, ce qui aurait d'ailleurs eu l'avantage de référencer ses dépenses. Il convient encore de relever qu'en dépit de sa problématique en lien avec la gestion de ses affaires administratives, elle a parfaitement été capable d'ouvrir très rapidement un nouveau compte bancaire au M______ lorsque les comptes H______ ont été bloqués et à modifier les versements V______ en faveur de ce compte afin de continuer à toucher les indemnités perte de gain. Les factures produites par l'appelante ne permettent pas d'établir que les fonds reçus par cette dernière ont été utilisés pour les besoins courants de G______ SA. Certaines dépenses ressortant de ces documents pourraient être reliées à l'activité du K______ (notamment une partie des achats chez Q______ et R______, les factures de tabac à shisha et de glaçons et certaines factures P______, voire très éventuellement certains pleins d'essence, tandis que d'autres dépenses peuvent très difficilement, voire pas du tout, l'être, comme les virements effectués en faveur des fils de l'appelante, les achats de denrées alimentaires durant la période de fermeture des restaurants due au COVID-19 ou de produits de beauté, ou encore le paiement des primes de l'assurance véhicule de l'appelante et les factures établies au nom de l'appelante, telles que celles qui ont été émises par P______ en lien avec l'appartement au 5 ème étage de l'immeuble du no. ______ rue 1______. Faute d'avoir établi une comptabilité pour son établissement, l'appelante est par ailleurs elle-même incapable d'apporter des précisions sur ces factures. Le paiement en faveur de son époux de trois mois de salaire en liquide ne peut être considéré établi, étant relevé que l'appelante ne s'est pas totalement montrée constante quant au moment où elle le lui aurait transmis, que le reçu établi par l'intéressé date du mois de décembre 2020, qu'il n'a pas pu être entendu dans la présente procédure et que l'activité qu'il aurait déployée au sein du K______ demeure particulièrement obscure et n'est étayée par aucun document. Cela étant, même à considérer qu'elle aurait effectivement rémunéré son mari avec l'argent du prêt dans une situation d'urgence induite par le blocage de ses comptes bancaires, qui pourrait éventuellement justifier l'utilisation de ces fonds en lieu et place et dans l'attente des indemnités RHT, il n'en demeure pas moins qu'elle a mésusé, en violation des conventions de prêts COVID-19, d'une grande partie de l'argent reçu à titre de prêt pour G______ SA. Le paiement de son propre salaire, auquel elle a elle-même indiqué à la police avoir procédé (bien que contestant cette déclaration par la suite) grâce aux fonds versés à titre de prêt COVID-19, constitue notamment un détournement des fonds des prêts COVID-19 dans la mesure où l'appelante, inapte à travailler, percevait simultanément des indemnités perte de gain de V______. Il est par ailleurs acquis que l'appelante a utilisé des fonds du crédit COVID-19 destiné à la raison individuelle au profit de G______ SA ou de ses propres dépenses, comme elle l'a elle-même reconnu. Au regard de ce qui précède, il est établi que l'appelante n'a pas utilisé les CHF 66'000.- provenant des crédits COVID-19 pour les besoins courants de G______ SA uniquement, mais pour ses besoins personnels ou au bénéfice de tiers, même si certains paiements ont pu être effectués en relation avec l'activité de la société. 2.5.2.5. Le comportement de l'appelante réunit ainsi tous les éléments constitutifs d'une escroquerie : une manœuvre astucieuse intentionnelle, consistant à la fois en des affirmations fallacieuses et en la dissimulation de faits vrais (chiffre d'affaires et masse salariale erronés, affectation des fonds et intention de rembourser), ayant conduit les lésés à procéder à des actes préjudiciables aux intérêts pécuniaires d'un tiers (l'octroi de prêts indus et irrécouvrables, portant de la sorte atteinte aux intérêts des organismes de cautionnement). Les formulaires remplis par l'appelante et soumis à la banque liaient cette dernière, lui imposant de faire droit à la demande de crédit sans procéder à une quelconque vérification, conformément aux obligations découlant de l'OCaS-COVID-19, afin de pouvoir bénéficier de la garantie solidaire mise en place dans cette situation d'urgence inédite. Dans ces circonstances, il ne saurait être question d'une quelconque coresponsabilité de la dupe, puisque celle-ci se voyait en réalité interdite de procéder à des vérifications en raison de circonstances particulières. En mentant sciemment dans ce formulaire, l'appelante profitait de la situation d'urgence, ce qui constitue l'exploitation d'un rapport de confiance particulier lié à la nature des prêts COVID-19 et s'est donc faite l'auteure d'une manœuvre astucieuse. Le mensonge était caractérisé dans chaque demande, puisqu'il portait non seulement sur le chiffre d'affaires et la masse salariale, mais aussi sur l'affectation des fonds et sur son intention de rembourser les fonds reçus, vu sa situation financière déjà obérée. Partant, la culpabilité de l'appelante des chefs d'escroquerie doit être confirmée et l'appel rejeté sur ce point. Faux dans les titres</w:t>
      </w:r>
    </w:p>
    <w:p>
      <w:r>
        <w:rPr>
          <w:b/>
        </w:rPr>
        <w:t>E. 2.6</w:t>
      </w:r>
    </w:p>
    <w:p>
      <w:r>
        <w:t>Les demandes de prêt COVID-19 signées par l'appelante constituent manifestement des faux intellectuels, vu le caractère mensonger de leur contenu. Ces documents sont nécessaires et suffisants, à eux seuls, à engager l'appelante ainsi que les établissements concernés pour des montants importants. Compte tenu de la nature de ces prêts exceptionnels, les formulaires litigieux se voyaient conférer une valeur particulière. Ils doivent être considérés comme des déclarations unilatérales, invérifiables par nature, du client à la banque, qui fondent des obligations réciproques. A teneur de l'OCaS-COVID-19, ces documents sont dignes de confiance, de telle sorte qu'une vérification par le destinataire n'est pas exigée, à l'instar d'un formulaire A rempli par le client d'une banque lors de l'ouverture d'une relation. Partant, ils doivent être considérés comme des titres et l'appelante, qui les a sciemment remplis et utilisés, doit être reconnue coupable de faux dans les titres. OCaS-COVID-19</w:t>
      </w:r>
    </w:p>
    <w:p>
      <w:r>
        <w:rPr>
          <w:b/>
        </w:rPr>
        <w:t>E. 2.7</w:t>
      </w:r>
    </w:p>
    <w:p>
      <w:r>
        <w:t>En l'espèce, les faits reprochés à l'appelante tombant sous le coup de dispositions du code pénal, l'application subsidiaire de l'art. 23 OCaS-COVID-19 est exclue.</w:t>
      </w:r>
    </w:p>
    <w:p>
      <w:r>
        <w:rPr>
          <w:b/>
        </w:rPr>
        <w:t>E. 3.1</w:t>
      </w:r>
    </w:p>
    <w:p>
      <w:r>
        <w:t>Les infractions d'escroqueries (art. 146 al. 1 CP) et de faux dans les tires (art. 251 al. 1 CP) sont réprimées par une peine privative de liberté de cinq ans au plus ou 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3.2.3. Le juge suspend en règle générale l'exécution d'une peine pécuniaire ou d'une peine privative de liberté de deux ans au plus lorsqu'une peine ferme ne paraît pas nécessaire pour détourner l'auteur d'autres crimes ou délits (art. 42 al. 1 CP). 3.2.4.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et peut prononcer un avertissement et prolonger le délai d'épreuve de la moitié au plus de la durée fixée dans le jugement, ordonner une assistance de probation ou imposer des règles de conduite pour le délai d'épreuve ainsi prolongé (alinéa 2). 3.2.5. Le juge impute sur la peine la détention avant jugement subie par l'auteur dans le cadre de l'affaire qui vient d'être jugée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6B_906/2019 du 7 mai 2020 consid. 1.1).</w:t>
      </w:r>
    </w:p>
    <w:p>
      <w:r>
        <w:rPr>
          <w:b/>
        </w:rPr>
        <w:t>E. 3.3</w:t>
      </w:r>
    </w:p>
    <w:p>
      <w:r>
        <w:t>Sauf disposition contraire, la peine pécuniaire est de trois jours-amende au moins et ne peut excéder 180 jours-amende (art. 34 al. 1 CP).</w:t>
      </w:r>
    </w:p>
    <w:p>
      <w:r>
        <w:rPr>
          <w:b/>
        </w:rPr>
        <w:t>E. 3.4</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Si elles ne sont réalisées qu'en instance de jugement, un verdict de culpabilité est rendu, mais dépourvu de sanction (ATF 135 IV 130 consid. 5.3.2).</w:t>
      </w:r>
    </w:p>
    <w:p>
      <w:r>
        <w:rPr>
          <w:b/>
        </w:rPr>
        <w:t>E. 3.4.1</w:t>
      </w:r>
    </w:p>
    <w:p>
      <w:r>
        <w:t>La faute de l'appelante est importante. Elle a profité de la pandémie du COVID-19 et de la situation d'urgence qui en a découlé pour, à deux reprises, tromper les autorités dans le but de s'enrichir indûment de montants importants, sans égard pour la collectivité et pour le but premier de la mise en place de ces crédits extraordinaires, à savoir la préservation du tissu économique suisse. Les fonds obtenus ont en tout cas en partie été utilisés pour couvrir des dépenses privées de l'appelante sans lien avec la vocation des crédits COVID-19, son mobile pouvant ainsi être qualifié d'égoïste. Sa collaboration a été médiocre et sa prise de conscience est inexistante s'agissant des faits qualifiés d'escroquerie et de faux dans les titres, l'appelante ayant persisté à nier les faits durant toute la procédure en fournissant des explications douteuses et invérifiables. Elle a certes acquiescé aux conclusions civiles des parties plaignantes, mais uniquement dans la mesure où elle reconnaissait devoir, sur le principe, rembourser les prêts conformément aux conventions de crédit qu'elle a signées. Une ébauche de prise de conscience peut toutefois être constatée s'agissant de l'infraction commise au préjudice de C______. La situation personnelle, en particulier économique, de l'appelante peut en partie expliquer ses actes mais en aucun cas les justifier.</w:t>
      </w:r>
    </w:p>
    <w:p>
      <w:r>
        <w:rPr>
          <w:b/>
        </w:rPr>
        <w:t>E. 3.4.2</w:t>
      </w:r>
    </w:p>
    <w:p>
      <w:r>
        <w:t>Au vu de la gravité de la faute de l'appelante et de sa prise de conscience limitée, le prononcé d'une peine privative de liberté se justifie pour l'ensemble des infractions, la commission de ces dernières étant intimement liée. L'infraction la plus grave, soit l'escroquerie en lien avec la première demande de prêt du 26 mars 2020 commande à elle seule le prononcé d'une peine privative de liberté de huit mois ; cette peine sera aggravée d'un mois (peine théorique de deux mois) pour le faux dans les titres concomitant, de cinq mois (peine théorique de sept mois) pour la seconde escroquerie en lien avec la demande de prêt du 5 avril 2020 et d'un mois (peine théorique de deux mois) pour le second faux dans les titres, portant la peine d'ensemble à 15 mois. La peine privative de liberté prononcée par le premier juge sera par conséquent confirmée, sans qu'il ne soit dérogé à l'interdiction de la reformatio in pejus en lien avec l'acquittement partiel de l'appelante (arrêts du Tribunal fédéral 6B_539/2018 du 23 août 2018 consid. 1.4 ; 6B_976/2016 du 12 octobre 2017 consid. 3.3.1). La détention avant jugement sera déduite de la peine prononcée, dans la proportion retenue par le premier juge, soit 57 jours. Pour respecter le principe de l'interdiction de la reformatio in pejus , les mesures de substitution dont l'appelante a fait l'objet devront quant à elles être déduites à hauteur de 62 jours, correspondant à 20% desdites mesures, étant relevé que l'atteinte mineure à la liberté personnelle de l'appelante, en comparaison avec la détention provisoire, aurait justifié une déduction à hauteur de 10%.</w:t>
      </w:r>
    </w:p>
    <w:p>
      <w:r>
        <w:rPr>
          <w:b/>
        </w:rPr>
        <w:t>E. 3.4.3</w:t>
      </w:r>
    </w:p>
    <w:p>
      <w:r>
        <w:t>S'agissant de l'infraction à l'art. 87 LAVS, la peine de 30 jours-amende à CHF 30.- l'unité, partiellement complémentaire à la condamnation du 12 novembre 2019 et non contestée en appel, apparaît conforme à la faute et à la situation financière de l'appelante Elle sera, partant, confirmée, à l'instar de la renonciation à révoquer le sursis octroyé le 30 mai 2017 par le Tribunal de AD______, acquise à l'appelante. Les conditions cumulatives de l'art. 52 CP ne sont pas réalisées dès lors que ni la culpabilité de l'appelante, ni les conséquences de ses actes ne sont de peu d'importance. Elle a en effet sciemment manqué à ses obligation d'administratrice et lésé ses employés en omettant de verser leurs cotisations sociales. Il n'y a donc pas lieu de l'exempter de peine sous cet angle.</w:t>
      </w:r>
    </w:p>
    <w:p>
      <w:r>
        <w:rPr>
          <w:b/>
        </w:rPr>
        <w:t>E. 3.4.4</w:t>
      </w:r>
    </w:p>
    <w:p>
      <w:r>
        <w:t>L'octroi du sursis complet, tant pour la peine privative de liberté que la peine pécuniaire, est acquis à l'appelante. Il sera assorti d'un délai d'épreuve de trois ans, durée suffisante pour la dissuader de commettre de nouvelles infractions.</w:t>
      </w:r>
    </w:p>
    <w:p>
      <w:r>
        <w:rPr>
          <w:b/>
        </w:rPr>
        <w:t>E. 4</w:t>
      </w:r>
    </w:p>
    <w:p>
      <w:r>
        <w:t>L'appelante a acquiescé aux conclusions civiles des parties plaignantes, sur le principe et s'agissant de leurs montants. Sa condamnation à payer les sommes de CHF 36'000.- à D______, CHF 30'000.- à F______ et CHF 6'591.95 à C______, à titre de réparation de leurs dommages matériels, sera dès lors confirmée, de même que la créance compensatrice de CHF 66'000.- prononcée à son encontre et son allocation à D______ et F______ au pro rata de leurs créances respectives (art. 124 al. 3 CPP, 41 du code des obligations [CO], 71 et 73 CP).</w:t>
      </w:r>
    </w:p>
    <w:p>
      <w:r>
        <w:rPr>
          <w:b/>
        </w:rPr>
        <w:t>E. 5</w:t>
      </w:r>
    </w:p>
    <w:p>
      <w:r>
        <w:t>5.1. Les maintiens et levées des séquestres ainsi que les restitutions ordonnés en première instance, non contestés en appel, seront confirmés, étant précisé que, s'agissant du véhicule de l'appelante, le séquestre porte désormais sur le produit de sa vente, soit CHF 7'932.12, actuellement en main des Services financiers du Pouvoir judiciaire. Ces montants seront affectés, à due concurrence de leur solde, à l'exécution de la créance compensatrice, qui a la priorité sur les frais de la procédure.</w:t>
      </w:r>
    </w:p>
    <w:p>
      <w:r>
        <w:rPr>
          <w:b/>
        </w:rPr>
        <w:t>E. 5.2</w:t>
      </w:r>
    </w:p>
    <w:p>
      <w:r>
        <w:t>Ne pouvant être reliées aux infractions commises par l'appelante, les valeurs patrimoniales séquestrées figurant aux chiffres 1 et 5 de l'inventaire n° 17______ (CHF 812.55, EUR 1'000.-, CHF 10.50 et EUR 5.-) et au chiffre 1 de l'inventaire n° 15______ (3'500.- dinars du Bahreïn) ne seront pas confisquées comme suggéré par le TP dans son dispositif (art. 70 CP). Leur séquestre sera toutefois maintenu et elles seront dévolues, à due concurrence de leur solde, au paiement de la créance compensatrice (art. 71 CP).</w:t>
      </w:r>
    </w:p>
    <w:p>
      <w:r>
        <w:rPr>
          <w:b/>
        </w:rPr>
        <w:t>E. 6</w:t>
      </w:r>
    </w:p>
    <w:p>
      <w:r>
        <w:t>6.1.1.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 6.1.2. En appel, l'appelante obtient gain de cause s'agissant de sa culpabilité du chef de tentative d'escroquerie mais succombe pour le reste. Elle sera dès lors condamnée à s'acquitter de 90% des frais de la procédure d'appel, comprenant un émolument d'arrêt de CHF 2'000.-, le solde étant laissé à la charge de l'Etat (art. 428 al. 1 CPP). 6.2.1. Aux termes de l'art. 428 al. 3 CPP, si l'autorité de recours rend elle-même une nouvelle décision, elle se prononce également sur les frais fixés par l'autorité inférieure. Le sort des frais de procédure de première instance est régi par les art. 426 et 427 CPP. Le prévenu doit supporter les frais en cas de condamnation (art. 426 al. 1 CPP),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6.2.2. La répartition des frais de première instance demeurera inchangée quand bien même l'appelante obtient un acquittement partiel. En effet, il n'apparaît pas que l'instruction a été spécifiquement alourdie par l'examen des questions liées au formulaire CREDIT PLUS-COVID-19 (art. 426 al. 1 CPP).</w:t>
      </w:r>
    </w:p>
    <w:p>
      <w:r>
        <w:rPr>
          <w:b/>
        </w:rPr>
        <w:t>E. 7</w:t>
      </w:r>
    </w:p>
    <w:p>
      <w:r>
        <w:t>Les conclusions en indemnisation de l'appelante pour détention injustifiée (art. 429 al. 1 let. c CPP) seront rejetées compte tenu de l'issue de son appel, les infractions pour lesquelles elle demeure condamnée justifiant en elles-seules sa mise en détention provisoire.</w:t>
      </w:r>
    </w:p>
    <w:p>
      <w:r>
        <w:rPr>
          <w:b/>
        </w:rPr>
        <w:t>E. 8.1</w:t>
      </w:r>
    </w:p>
    <w:p>
      <w:r>
        <w:t>La question de l'indemnisation doit être tranchée après la question des frais, y compris s'agissant de l'indemnisation de la partie plaignante au titre de l'art. 433 CPP (arrêts du Tribunal fédéral 6B_1258/2018 consid. 3.3 et 3.4.2 ; 6B_439/2013 du 19 juillet 2013 consid. 3).</w:t>
      </w:r>
    </w:p>
    <w:p>
      <w:r>
        <w:rPr>
          <w:b/>
        </w:rPr>
        <w:t>E. 8.2</w:t>
      </w:r>
    </w:p>
    <w:p>
      <w:r>
        <w:t>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ème éd., Bâle 2014, n. 10 ad art. 433 ; N. SCHMID, Schweizerische Strafprozessordnung : Praxiskommentar , 2 ème éd., Zurich 2013, n. 6 ad art. 433). 8.3.1. En l'espèce, F______ obtient entièrement gain de cause, dès lors que l'appelante demeure reconnue coupable de tous les faits commis à son préjudice. Elle peut ainsi prétendre à être entièrement indemnisée par l'appelante, la note d'honoraire de son conseil n'appelant au demeurant pas de rectification. L'indemnité pour les dépenses obligatoires occasionnées par la procédure d'appel à F______ sera ainsi arrêtée à CHF 1'830.90, correspondant à cinq heures et 40 minutes d'activité au tarif de CHF 300.-/heure (CHF 1'700.-), et l'équivalent de la TVA au taux de 7.7% en CHF 130.90. Ce montant viendra s'ajouter à l'indemnité de CHF 5'385.- octroyée en première instance, non contestée en appel. 8.3.2. D______ succombe s'agissant de l'infraction de tentative d'escroquerie vu l'acquittement de l'appelante de ce chef d'accusation. Il sera donc indemnisé pour les frais d'avocat induits par la procédure d'appel à hauteur de 90%, proportionnellement à la part des frais de procédure mise à la charge de l'appelante. Le montant de l'indemnité fondée sur l'art. 433 al. 1 let. a CPP sera arrêtée à CHF 1'647.80, correspondant au 90% de cinq heures et 40 minutes d'activité au tarif de CHF 300.-/heure (CHF 1'530.-) et à l'équivalent de la TVA au taux de 7.7% en CHF 117.80. Ce montant viendra s'ajouter à l'indemnité de CHF 6'095.82 octroyée en première instance, non contestée en appel.</w:t>
      </w:r>
    </w:p>
    <w:p>
      <w:r>
        <w:rPr>
          <w:b/>
        </w:rPr>
        <w:t>E. 9</w:t>
      </w:r>
    </w:p>
    <w:p>
      <w:r>
        <w:t>9.1.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cheffe d'étude CHF 200.- (let. c). En cas d'assujettissement, l'équivalent de la TVA est versé en sus.</w:t>
      </w:r>
    </w:p>
    <w:p>
      <w:r>
        <w:rPr>
          <w:b/>
        </w:rPr>
        <w:t>E. 9.2</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9.3</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sont indemnisés à travers le forfait.</w:t>
      </w:r>
    </w:p>
    <w:p>
      <w:r>
        <w:rPr>
          <w:b/>
        </w:rPr>
        <w:t>E. 9.4</w:t>
      </w:r>
    </w:p>
    <w:p>
      <w:r>
        <w:t>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à CHF 100.- pour les chefs d'étude, dite rémunération étant allouée d'office par la juridiction d'appel pour les débats devant elle.</w:t>
      </w:r>
    </w:p>
    <w:p>
      <w:r>
        <w:rPr>
          <w:b/>
        </w:rPr>
        <w:t>E. 9.5</w:t>
      </w:r>
    </w:p>
    <w:p>
      <w:r>
        <w:t>L'état de frais de M e B______ satisfait globalement aux exigences légales et jurisprudentielles régissant l'assistance judiciaire gratuite en matière pénale compte tenu de sa constitution tardive au stade de l'appel, seul le temps consacré à la rédaction de la déclaration d'appel (20 minutes), compris dans le forfait, devant être retranché. Il convient de le compléter de trois heures et 20 minutes correspondant à la durée effective de l'audience d'appel, ainsi que de CHF 100.- correspondant à la vacation de cheffe d'Etude au palais de justice. En conclusion, la rémunération sera arrêtée à CHF 7'237.50, correspondant à 27 heures et 35 minutes d'activité au tarif de CHF 200.-/heure (CHF 5'516.70) plus la majoration forfaitaire de 20% (CHF 1'103.35), le déplacement au palais de justice (CHF 100.-) et l'équivalent de la TVA au taux de 7.7% en CHF 517.45.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