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P/9085/2012 vom 21. August 2023</w:t>
      </w:r>
    </w:p>
    <w:p>
      <w:r>
        <w:t>GE Cour de justice, 2023-08-21, FR</w:t>
      </w:r>
    </w:p>
    <w:p>
      <w:r>
        <w:rPr>
          <w:b/>
        </w:rPr>
        <w:t xml:space="preserve">Quelle: </w:t>
      </w:r>
      <w:r>
        <w:t>https://mcp.opencaselaw.ch/entscheid/ge_gerichte_P_9085_2012</w:t>
      </w:r>
    </w:p>
    <w:p>
      <w:r>
        <w:t>FR: GE_GERICHTE P/9085/2012 du 21 août 2023</w:t>
      </w:r>
    </w:p>
    <w:p>
      <w:r>
        <w:t>IT: GE_GERICHTE P/9085/2012 del 21 agosto 2023</w:t>
      </w:r>
    </w:p>
    <w:p>
      <w:pPr>
        <w:pStyle w:val="Heading2"/>
      </w:pPr>
      <w:r>
        <w:t>Regeste</w:t>
      </w:r>
    </w:p>
    <w:p>
      <w:r>
        <w:t>GESTION DÉLOYALE;ESCROQUERIE;ABUS DE CONFIANCE;QUALITÉ POUR AGIR ET RECOURIR;GÉRANT DE FORTUNE;CLASSEMENT DE LA PROCÉDURE;INTÉRÊT JURIDIQUEMENT PROTÉGÉ | CP.158; CP.146; CP.138; CPP.319.al1.letb; CPP.382.al1; CPP.115.al1</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2.1</w:t>
      </w:r>
    </w:p>
    <w:p>
      <w:r>
        <w:t>Le recours a été interjeté selon la forme et dans le délai prescrits (art. 385 al. 1 et 396 al. 1 CPP), concerne une ordonnance sujette à recours auprès de la Chambre de céans (art. 322 al. 2 et 393 al. 1 let. a CPP) et émane des plaignants (art. 104 al. 1 let. b CPP).![endif]&gt;![if&gt;</w:t>
      </w:r>
    </w:p>
    <w:p>
      <w:r>
        <w:rPr>
          <w:b/>
        </w:rPr>
        <w:t>E. 2.2</w:t>
      </w:r>
    </w:p>
    <w:p>
      <w:r>
        <w:t>Seule la partie qui a un intérêt juridiquement protégé à l’annulation d’un prononcé est habilitée à quereller celui-ci (art. 382 al. 1 CPP).</w:t>
      </w:r>
    </w:p>
    <w:p>
      <w:r>
        <w:rPr>
          <w:b/>
        </w:rPr>
        <w:t>E. 2.2.1</w:t>
      </w:r>
    </w:p>
    <w:p>
      <w:r>
        <w:t>Une partie plaignante n'a qualité pour agir, fondée sur un intérêt juridiquement protégé à la modification ou à l'annulation de la décision querellée (art. 382 al. 1 CPP), que pour autant qu'elle soit directement et personnellement lésée par l'infraction dénoncée (art. 115 al. 1 CPP), ce qui implique en principe qu'elle soit titulaire du bien juridiquement protégé par cette dernière (arrêt du Tribunal fédéral 1B_678/2011 du 30 janvier 2012 consid. 2.1). Il convient donc d'interpréter le texte de l'infraction pour en déterminer le titulaire et ainsi savoir qui a qualité de lésé (ATF 118 IV 209 consid. 2).</w:t>
      </w:r>
    </w:p>
    <w:p>
      <w:r>
        <w:rPr>
          <w:b/>
        </w:rPr>
        <w:t>E. 2.2.2</w:t>
      </w:r>
    </w:p>
    <w:p>
      <w:r>
        <w:t>En matière d’infractions contre le patrimoine – au nombre desquelles figurent l’escroquerie et la gestion déloyale –, le détenteur des biens/avoirs menacés dispose du statut de lésé (ATF 148 IV 170 consid. 3.3.1). Les cotitulaires d’un compte bancaire joint sont considérés comme possédant des droits égaux sur les valeurs qui y sont déposées (ATF 148 III 115 consid. 5). Le faux dans les titres peut porter atteinte à des intérêts individuels, en particulier s'il vise à nuire à une personne. Tel est le cas lorsqu’un document est présenté à un individu qui pourrait prendre des dispositions sur cette base (ATF 148 IV 170 précité consid. 3.5.1), respectivement quand le faux constitue l'un des éléments d'une infraction contre le patrimoine (arrêt du Tribunal fédéral 6B_666/2021 du 13 janvier 2023 consid. 3.1.2). Selon la jurisprudence, les infractions visées aux art. 306 et 307 CP protègent en première ligne l'intérêt collectif. Conformément aux principes rappelés ci-dessus, les particuliers ne sont considérés comme lésés que si leurs intérêts privés (par exemple l'honneur ou les intérêts patrimoniaux) ont été effectivement touchés par les actes en cause, de sorte que l'atteinte qu'ils subissent dans leurs droits apparaît comme la conséquence directe de l'acte dénoncé (ATF 123 IV 184 consid. 1c ; arrêts du Tribunal fédéral 1B_304/2020 du 3 décembre 2020 consid. 3.2 ; 6B_799/2015 du 4 avril 2016 consid. 2.1; 1B_489/2011 du 24 janvier 2012 consid. 2.2).</w:t>
      </w:r>
    </w:p>
    <w:p>
      <w:r>
        <w:rPr>
          <w:b/>
        </w:rPr>
        <w:t>E. 2.2.3</w:t>
      </w:r>
    </w:p>
    <w:p>
      <w:r>
        <w:t>En l'espèce, les recourants n'allèguent pas en quoi ils seraient lésés par les déclarations du prévenu lors de l'audience du Tribunal de première instance du 20 novembre 2018 ou par la signature des formulaires A litigieux. Ils ne font pas valoir un lien de causalité entre le dommage allégué et lesdits formulaires, par exemple en soutenant que des faux auraient déterminé leurs décisions d'investissement ou d'emprunt à l'égard des entités liées au prévenu. Rien n'indique que les plaignants avaient connaissance des formulaires litigieux avant l'ouverture de la procédure. En outre, ils ne font pas valoir que les propos litigieux tenus dans le cadre de la procédure civile – qui a abouti à l'irrecevabilité de l'action déposée par G______ INC à leur encontre – leur auraient causé un préjudice, par exemple la perte du procès civil. Il s’ensuit que l’acte est irrecevable en tant qu’il porte sur les art. 251 et 306 CP.</w:t>
      </w:r>
    </w:p>
    <w:p>
      <w:r>
        <w:rPr>
          <w:b/>
        </w:rPr>
        <w:t>E. 3</w:t>
      </w:r>
    </w:p>
    <w:p>
      <w:r>
        <w:t>Les recourants reprochent au Ministère public d'avoir violé le principe de célérité.</w:t>
      </w:r>
    </w:p>
    <w:p>
      <w:r>
        <w:rPr>
          <w:b/>
        </w:rPr>
        <w:t>E. 3.1</w:t>
      </w:r>
    </w:p>
    <w:p>
      <w:r>
        <w:t>Consacré à l'art. 29 al. 1 Cst., le principe de la célérité est violé lorsque l'autorité ne rend pas une décision qu'il lui incombe de prendre dans le délai prescrit par la loi ou dans le délai que la nature de l'affaire et les circonstances font apparaître comme raisonnable (ATF 143 IV 373 consid. 1.3.1; 130 I 312 consid. 5.1 p. 331 ; 119 Ib 311 consid. 5 p. 323 et les références citées). 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 arrêts du Tribunal fédéral 6B_203/2019 du 10 avril 2019 consid. 3.1; 1B_590/2012 du 13 mars 2013 consid. 3.1).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(ATF 143 IV 373 consid. 1.3.1; 130 IV 54 consid. 3.3.3; arrêt du Tribunal fédéral 6B_203/2019 du 10 avril 2019 consid. 3.1).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p. 144 ; 119 IV 107 consid. 1c p. 110). Pour pouvoir invoquer avec succès un retard injustifié à statuer, la partie doit être vainement intervenue auprès de l'autorité pénale pour que celle-ci statue à bref délai (arrêt du Tribunal fédéral 1B_24/2013 du 12 février 2013 consid. 4 et les références citées). Il appartient, en effet,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(arrêts du Tribunal fédéral 2A.588/2006 du 19 avril 2007 consid. 2 et la référence à l'ATF 125 V 373 consid. 2b/aa p. 375 ; 6B_1066/2013 du 27 février 2014 consid. 1.1.2).</w:t>
      </w:r>
    </w:p>
    <w:p>
      <w:r>
        <w:rPr>
          <w:b/>
        </w:rPr>
        <w:t>E. 3.2</w:t>
      </w:r>
    </w:p>
    <w:p>
      <w:r>
        <w:t>En l'espèce, à ce stade de la procédure, c'est-à-dire après le prononcé du classement, il est douteux que les recourants disposent encore d'un intérêt à faire reconnaître une violation du principe de célérité par le Ministère public. Cela étant, la question peut rester ouverte au vu des considérations qui suivent. La première période d'inactivité alléguée se situe entre 2017 et 2019. À une date indéterminée en 2017, le Ministère public a confié le dossier à ses analystes financiers, puis a rendu un avis de prochain clôture le 17 octobre 2018. Or, le dossier comporte neuf classeurs, dont cinq consacrés exclusivement à l'importante documentation bancaire – relative à une période de plus de douze ans – requise entre 2012 et 2013 concernant les très nombreuses écritures opérées sur cinq comptes différents, utilisés à des fins d'investissement à court terme, voire comme comptes de transit. Le temps consacré à examiner la documentation bancaire reste donc proportionné à l'ampleur et à la difficulté de la cause. L'absence de rapport écrit des analystes financiers du Ministère public n'implique d'ailleurs pas qu'aucune activité n'ait été entreprise par ceux-ci ni qu'un compte-rendu de cette activité n'aurait jamais été effectué, à tout le moins oralement. Dès lors, le Ministère public, qui a consacré la période entre 2017 et octobre 2018 à l'appréciation du résultat de l'instruction complexe qu'il a diligentée, n'a pas violé le principe de célérité. La seconde période d'inactivité alléguée va de l'avis de prochaine clôture du 29 juin 2020 au prononcé de l'ordonnance de classement le 28 avril 2023. Une telle durée ne paraît pas justifiée dans la mesure où aucun acte d'instruction n'a été entrepris. Cela étant, les recourants ne sont plus intervenus auprès de l'autorité après le 26 avril 2021. Au vu de l'absence de relances ultérieures, les recourants n'ont pas entrepris ce qui était en leur pouvoir pour que l'autorité fasse diligence. À cet égard, faute d'avoir saisi plus tôt l'autorité de recours pour alléguer un éventuel déni de justice, les recourants ne peuvent plus, de bonne foi, soulever ce moyen au stade du recours contre l'ordonnance de classement, ce d'autant qu'ils avaient averti le Ministère public, par courrier du 26 avril 2021, qu'ils n'hésiteraient pas à saisir l'autorité de recours pour le cas où ils constateraient une violation du principe de célérité. Enfin, les recourants n'allèguent pas que la durée de la procédure leur aurait causé un préjudice particulier. Au vu de l'absence de comportement pénalement relevant concernant les faits objet de la plainte du 24 juin 2012, ceux-ci ne peuvent en l'occurrence se prévaloir d'aucun intérêt à faire constater une éventuelle violation du principe de célérité. Par conséquent, ce grief sera rejeté dans la mesure de sa recevabilité.</w:t>
      </w:r>
    </w:p>
    <w:p>
      <w:r>
        <w:rPr>
          <w:b/>
        </w:rPr>
        <w:t>E. 4</w:t>
      </w:r>
    </w:p>
    <w:p>
      <w:r>
        <w:t>Les recourants soutiennent qu'il existe une prévention suffisante d'escroquerie, de gestion déloyale et d'abus de confiance. 4.1.1. Conformément à l'art. 319 al. 1 let. a CPP, le ministère public ordonne le classement de tout ou partie de la procédure lorsqu'aucun soupçon justifiant une mise en accusation n'est établi. Selon la jurisprudence, cette disposition doit être appliquée conformément à l'adage " in dubio pro duriore ".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4.1.2. Le ministère public classe également la cause lorsque des empêchements de procéder sont apparus (art. 319 al. 1 let. d CPP), tels que la prescription de l’action pénale (ATF 146 IV 68 consid. 2.1). 4.2.1. Selon l'art. 146 al. 1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(ATF 140 IV 206 consid. 6.3.1.2).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147 IV 73 consid. 3.2; 128 IV 18 consid. 3a; arrêt du Tribunal fédéral 6B_1010/2018 du 22 janvier 2019 consid. 3.3.1). L'infraction d'escroquerie se prescrit par quinze ans (art. 97 al. 1 let. b cum art. 146 CP). 4.2.2.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Le comportement délictueux visé à l'art. 158 CP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Le gérant de fortune constitue un exemple type de gérant au sens de l'art. 158 CP (ATF 120 IV 190 consid. 2b; arrêt du Tribunal fédéral 6B_967/2013 du 21 février 2014 consid. 3.1). Sont applicables à la gestion de fortune les règles du mandat, en particulier les obligations de diligence et de fidélité (art. 398 al. 2 CO; cf. ATF 124 III 155 ; arrêt du Tribunal fédéral 6B_967/2013 précité consid. 3.2.1). Le devoir de fidélité oblige le mandataire à s'abstenir de toute démarche qui pourrait nuire aux intérêts de son mandant. Le gérant doit éviter tout agissement qui cause un préjudice au client (arrêt 4C.149/1998 du 28 juillet 1998 consid. 3b, in SJ 1999 I 126 ; arrêt du Tribunal fédéral 6B_967/2013 précité consid. 3.2.1). L'infraction de gestion déloyale se prescrit par 10 ans (art. 97 al. 1 let. c CP cum art. 158 ch. 1 al. 1 CP), sa forme aggravée – caractérisée par le dessein d'enrichissement illégitime – par 15 ans (art. 97 al. 1 let. b CP cum art. 158 ch. 1 al. 3 CP). 4.2.3. Se rend coupable d'abus de confiance celui qui, pour se procurer ou procurer à un tiers un enrichissement illégitime, se sera approprié une chose mobilière appartenant à autrui et qui lui avait été confiée (art. 138 ch. 1 al. 1 CP) ou, sans droit, aura employé à son profit ou au profit d'un tiers des valeurs patrimoniales qui lui avaient été confiées (art. 138 ch. 1 al. 2 CP). Une chose est confiée au sens de cette disposition lorsqu'elle est remise ou laissée à l'auteur pour qu'il l'utilise de manière déterminée dans l'intérêt d'autrui, en particulier pour la garder, l'administrer, la livrer ou la vendre selon des instructions qui peuvent être expresses ou tacites (ATF 120 IV 117 consid. 2b p. 115; 118 IV 32 consid. 2a). L'appropriation implique que l'auteur veut, d'une part, la dépossession durable du propriétaire et, d'autre part, qu'il entend s'attribuer la chose, au moins pour un temps; cette volonté doit se manifester par des signes extérieurs : l'auteur doit se comporter d'une manière qui montre qu'il incorpore la chose à son patrimoine, que ce soit pour la conserver, la consommer ou l'aliéner, et se considère comme propriétaire, sans pour autant en avoir la qualité (ATF 121 IV 23 consid. 1c; 118 IV 148 consid. 2a et les arrêts cités), et ce, dans un dessein d'enrichissement illégitime (ATF 133 IV 21 consid. 6.1.2; arrêt du Tribunal fédéral 6B_61/2015 du 14 mars 2016 consid. 4.1). Du point de vue subjectif, l'auteur doit agir intentionnellement, avec le dessein de se procurer ou de procurer à un tiers un enrichissement illégitime, qui peut être réalisé par dol éventuel (ATF 118 IV 32 consid. 2). L'abus de confiance commis par un gérant de fortune se prescrit par quinze ans (art. 97 al. 1 let. b CP cum art. 138 ch. 2 CP). 4.3.1. En l'espèce, le contrat de prêt du 28 juin 2005 prévoit l'utilisation de mécanismes financiers risqués, tels les effets de levier ou les contrats à terme, dans le cadre de l'investissement du montant de USD 150'000.-. Il n'est ainsi pas crédible qu'après avoir perdu d'importants montants confiés au prévenu, les recourants – qui sont pourtant rompus aux affaires – ne se soient pas inquiétés de l'identité de leur cocontractant, ni de la personne qui gérerait l'emprunt contracté, malgré les risques importants liés à l'investissement convenu. Leur ignorance alléguée est d'autant moins compréhensible que des transactions avec la société caïmanaise avaient déjà été enregistrées sur leurs comptes avant la signature du contrat de prêt. Or, ceux-ci ne pouvaient ignorer ces transactions, dès lors qu'ils ont eux-mêmes effectué des transferts sur leurs comptes en 2004 et 2006. En outre, B______ a déclaré que la gestion par le prévenu des fonds remis à G______ INC constituait une condition de l'octroi du prêt, de sorte que l'identité du prêteur ne revêtait aucune importance pour les recourants, lesquels avaient accepté que le prévenu continue à gérer leurs fonds. Par ailleurs, la condition posée au prêt, à teneur du chiffre 7 du contrat, à savoir la décharge du prévenu et de sa société, ne pouvait s'expliquer autrement que par un lien entre la prêteuse et les bénéficiaires de la décharge. Enfin, compte tenu de la profession des recourants, actifs internationalement dans les affaires, il n'est pas crédible que ceux-ci aient signé des contrats qu'ils ne comprenaient pas sur la seule base de la confiance. Par conséquent, la signature de la décharge ne procède pas d'une tromperie, qui ne peut a fortiori être qualifiée d'astucieuse, de sorte que les éléments constitutifs de l'escroquerie ne sont pas réalisés. Par surabondance de motifs, l'infraction d'escroquerie en lien avec la prétendue incitation à signer la décharge du 28 juin 2005 serait de toute façon prescrite (art. 97 al. 1 let. b cum art. 146 CP). 4.3.2. Les recourants considèrent que la gestion de leurs avoirs par le prévenu est constitutive de gestion déloyale ou d'un abus de confiance. En l'occurrence, le retour sur investissement attendu s'élevait, selon A______, à environ 20% par année. Or, de tels gains ne sont pas compatibles avec une gestion conservatrice des fonds, de sorte que les pertes subies avant la signature du contrat du 15 juillet 2004 constituent la conséquence du choix d'investissement des recourants et non celle d'une violation des devoirs de gérant du prévenu. Pour la période postérieure, tant le contrat du 15 juillet 2004 que les contrats subséquents, soit le contrat de prêt du 28 juin 2005 et la décharge signée le même jour, prévoient une gestion des fonds impliquant divers produits dérivés et des contrats à terme. Le contrat de prêt évoque également l'utilisation d'effets de levier (" leveraged transactions "). Or, les recourants escomptaient des gains très élevés, à savoir que le montant de USD 150'000.- remis à G______ INC atteindrait USD 625'000.- cinq ans plus tard. Compte tenu du risque induit par de tels investissements, une perte rapide des avoirs des recourants n'impliquait pas nécessairement une violation par le prévenu de ses devoirs de gérant. En outre, l'examen de l'évolution du compte de G______ INC ne fait ressortir aucune anomalie dans la répartition des gains et des pertes entre les sous-comptes. Celui des recourants, qui s'élevaient à USD 315'803.- au 31 décembre 2006, s'est réduit à USD 9'837.87 au 31 décembre 2008, tandis que le solde de tous les sous-comptes gérés par G______ INC est passé de USD 1'197'026.- au 31 décembre 2006 à USD 252'223.83 au 31 décembre 2008 et à USD 161'661.- au 31 décembre 2010. Si celui des recourants a diminué dans une proportion légèrement plus importante que le compte général, une telle différence n'est pas significative au vu des transactions entre le compte général et le sous-compte des recourants, apparemment à l'avantage de ces derniers. Au vu du versement par G______ INC, le 31 décembre 2008, d'un montant de USD 433'535.84 afin de couvrir le déficit sur le sous-compte, les raisons du débit d'un montant de USD 9'837.- dudit sous-compte à la même date ne sont pas déterminantes. Enfin, dans la mesure où des transactions avec G______ INC étaient déjà intervenues sur les propres comptes des recourants avant la signature du contrat de prêt, des accords parallèles entre les parties sont susceptibles d'expliquer les mouvements du sous-compte au compte principal. Or, les recourants n'ont pas apporté d'explication quant aux transactions sur leur propre compte, étant rappelé que le prévenu n'avait pas, sur lesdits comptes, le pouvoir d'ordonner des débits. Partant, ils n'ont pas pleinement collaboré à l'instruction, laissant volontairement des incertitudes quant aux raisons des mouvements opérés sur leurs comptes, respectivement leur sous-compte auprès de G______ INC. Ils ne proposent d'ailleurs pas d'administrer des preuves à ce sujet. Par conséquent, il n'existe aucun indice concret de commission d'utilisation des fonds des recourants au bénéfice de tiers ou du prévenu lui-même. Aucun élément au dossier ne permet en outre de retenir que la perte postérieure à la signature du contrat de prêt du 28 juin 2005 aurait été imputable à autre chose qu'à la stratégie d'investissement à haut risque acceptée par les recourants.</w:t>
      </w:r>
    </w:p>
    <w:p>
      <w:r>
        <w:rPr>
          <w:b/>
        </w:rPr>
        <w:t>E. 5</w:t>
      </w:r>
    </w:p>
    <w:p>
      <w:r>
        <w:t>Les recourants reprochent au Ministère public de n'avoir pas donné suite à leurs réquisitions de preuve.</w:t>
      </w:r>
    </w:p>
    <w:p>
      <w:r>
        <w:rPr>
          <w:b/>
        </w:rPr>
        <w:t>E. 5.1</w:t>
      </w:r>
    </w:p>
    <w:p>
      <w:r>
        <w:t>À teneur de l'art. 318 al. 2 CPP, le ministère public ne peut écarter une réquisition de preuve que si celle-ci exige l'administration de preuves sur des faits non pertinents, notoires, connus de l'autorité pénale ou déjà suffisamment prouvés en droit. Il rend sa décision par écrit et la motive brièvement. Selon l'art. 318 al. 3 CPP, les décisions rendues en vertu de l'al. 2 ne sont pas sujettes à recours. Si la procédure est classée, c'est l'exercice du recours contre cette décision qui permet à la partie plaignante de soulever à cette occasion la violation de son droit à la preuve, au sens de l’art. 393 al. 2 let. b CPP (cf. arrêt du Tribunal fédéral 1B_370/2013 du 2 avril 2014 consid. 1.1.2) et de proposer des preuves complémentaires (arrêt du Tribunal fédéral 1B_526/2012 du 24 juin 2013 consid. 2.3).</w:t>
      </w:r>
    </w:p>
    <w:p>
      <w:r>
        <w:rPr>
          <w:b/>
        </w:rPr>
        <w:t>E. 5.2</w:t>
      </w:r>
    </w:p>
    <w:p>
      <w:r>
        <w:t>En l'espèce, les réquisitions des recourants liées au suivi des mouvements de fonds ainsi qu'à la nature des opérations sur le marché des changes ne sont pas susceptibles de modifier l'appréciation qui précède : le type d'opérations effectuées était conforme à leurs instructions, telles qu'elles ressortent du contrat de prêt du 28 juin 2005, et il résulte de l'examen des mouvements de fonds sur le sous-compte des recourants une balance en leur faveur, étant relevé que sur les deux transactions litigieuses (débits de USD 72'900.- le 5 janvier 2006 et de USD 9'837.87 le 31 décembre 2008), seule la seconde échappe encore à la prescription. Or, comme on l'a vu, le sous-compte des recourants a été crédité de USD 433'535.84 le 31 décembre 2008 par le compte principal de G______ INC. Pour le même motif, l'audition du personnel de la banque – qui, plus est, à plus de quinze ans des faits – n'est pas de nature à faire ressortir des indices de gestion déloyale ni à démontrer un détournement des valeurs patrimoniales des recourants au profit du prévenu ou de tiers. En outre, les recourants n'expliquent pas en quoi l'audition de P______ serait susceptible d'apporter des indices d'infractions pénales, l'ayant droit économique de G______ INC n'ayant pas d'importance dans le contexte des infractions reprochées. C'est donc à juste titre que le Ministère public a rejeté les réquisitions de preuve des recourants.</w:t>
      </w:r>
    </w:p>
    <w:p>
      <w:r>
        <w:rPr>
          <w:b/>
        </w:rPr>
        <w:t>E. 6</w:t>
      </w:r>
    </w:p>
    <w:p>
      <w:r>
        <w:t>Justifiée, l'ordonnance querellée sera donc confirmée.</w:t>
      </w:r>
    </w:p>
    <w:p>
      <w:r>
        <w:rPr>
          <w:b/>
        </w:rPr>
        <w:t>E. 7</w:t>
      </w:r>
    </w:p>
    <w:p>
      <w:r>
        <w:t>Les recourants, qui succombent, supporteront les frais envers l'État. Compte tenu de l'ampleur du travail déployé pour statuer dans la présente cause – le dossier comportant notamment plusieurs classeurs de pièces bancaires –, les frais seront fixés en totalité à CHF 3'000.- pour l'instance de recours (art. 428 al. 1 CPP et 13 al. 1 du Règlement fixant le tarif des frais en matière pénale, RTFMP ; E 4 10.03). Cette somme sera en partie prélevée sur les sûretés versées.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