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P/9062/2021 vom 14. Dezember 2023</w:t>
      </w:r>
    </w:p>
    <w:p>
      <w:r>
        <w:t>GE Cour de justice, 2023-12-14, FR</w:t>
      </w:r>
    </w:p>
    <w:p>
      <w:r>
        <w:rPr>
          <w:b/>
        </w:rPr>
        <w:t xml:space="preserve">Quelle: </w:t>
      </w:r>
      <w:r>
        <w:t>https://mcp.opencaselaw.ch/entscheid/ge_gerichte_P_9062_2021</w:t>
      </w:r>
    </w:p>
    <w:p>
      <w:r>
        <w:t>FR: GE_GERICHTE P/9062/2021 du 14 décembre 2023</w:t>
      </w:r>
    </w:p>
    <w:p>
      <w:r>
        <w:t>IT: GE_GERICHTE P/9062/2021 del 14 dicembre 2023</w:t>
      </w:r>
    </w:p>
    <w:p>
      <w:pPr>
        <w:pStyle w:val="Heading2"/>
      </w:pPr>
      <w:r>
        <w:t>Regeste</w:t>
      </w:r>
    </w:p>
    <w:p>
      <w:r>
        <w:t>LF CONCERNANT DES MESURES EN MATIÈRE DE LUTTE CONTRE LE TRAVAIL AU NOIR;RÉMUNÉRATION ABUSIVE;DISPOSITIONS PÉNALES DE LA LEI;TRAVAIL AU NOIR;DROIT DES ÉTRANGERS;EMPLOI(TRAVAIL);FIXATION DE LA PEINE | LAVS.87; LEI.117; LEI.91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À teneur de l'art. 117 al. 1 LEI, quiconque, intentionnellement, emploie un étranger qui n'est pas autorisé à exercer une activité lucrative en Suisse est puni d'une peine privative de liberté d'un an au plus ou d'une peine pécuniaire. 2.1.2. L'employeur est soumis à un devoir de diligence arrêté à l'art. 91 LEI (M. S. NGUYEN / C. AMARELLE [éds], Code annoté de droit des migrations vol. II, Loi sur les étrangers, Stämpfli 2017, n. 11 ad art. 117). Selon cet article, 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(arrêt du Tribunal fédéral 2C_357/2009 du 16 novembre 2009 consid. 5.1 et 5.3). 2.2.1. L'opération dite "Papyrus",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2022 consid. 7 ; ATA/878/2022 du 30 août 2022 consid. 7). 2.2.2.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Le Ministère public a changé de pratique quant à l'opportunité de poursuivre une infraction de séjour illégal (art. 115 al. 1 let. b LEI) dans l'hypothèse où un prévenu est acquitté de celle prévue par l'art. 118 LEI, dans le cadre d'une opération de régularisation comme "Papyrus", et ce pour la période pénale couverte par celle-ci. Ce raisonnement s'inscrit dans le contexte particulier où des étrangers sans autorisation sont invités par l'État à dévoiler leur situation irrégulière dans l'espoir de se voir octroyer un permis. Il paraît en effet conforme au principe de la bonne foi que les autorités pénales, qui n'auraient pas eu connaissance du séjour illégal sans la révélation volontaire de l'administré, ne le poursuivent pas si celui-ci n'adopte aucun comportement frauduleux à l'égard des autorités ( AARP/70/2023 du 6 mars 2023 consid. 3.1 et 3.2 ; AARP/118/2023 du 27 mars 2023 consid. 2.1.5). Cela se justifie également au regard de la règle selon laquelle nul ne peut être contraint de s'auto-incriminer, qui constitue un principe général applicable à la procédure pénale, découlant de l'art. 32 Cst., de l'art. 14 al. 3 let. g du Pacte international relatif aux droits civils et politiques (Pacte ONU II ; RS 0.103.2) et du droit à un procès équitable au sens de l'art. 6 ch. 1 CEDH (ATF 142 IV 207 consid. 8.3).</w:t>
      </w:r>
    </w:p>
    <w:p>
      <w:r>
        <w:rPr>
          <w:b/>
        </w:rPr>
        <w:t>E. 2.3</w:t>
      </w:r>
    </w:p>
    <w:p>
      <w:r>
        <w:t>L'appelant ne conteste pas avoir employé B______, à tout le moins depuis le 13 juin 2016, soit la période non couverte par la prescription, jusqu'en avril 2018, mois durant lequel son employée a été annoncée aux autorités par le biais du dépôt de sa demande "Papyrus", alors que cette dernière, ressortissante des Philippines, était démunie d'autorisation de travailler en Suisse durant la période concernée, ce qu'il a reconnu savoir. Il ne saurait être fait application, par analogie, de la jurisprudence en lien avec les travailleurs ayant déposé une demande de régularisation. Tout d'abord, comme l'a à juste titre souligné le TP, aucun élément au dossier ne permet de considérer que l'appelant aurait annoncé de son propre chef avoir employé une personne démunie d'une autorisation d'exercer une activité lucrative en Suisse. Bien au contraire, il a été approché par l'OCIRT pour fournir des renseignements complémentaires dans un second temps, puis dénoncé, en raison des informations figurant dans le formulaire de régularisation "Papyrus", signé uniquement par son employée et transmis le 23 avril 2018. Ensuite, le principe de la bonne foi, dans le cadre de l'opération "Papyrus", ne protège aucunement les employeurs suisses qui ont engagé des employés étrangers de manière illégale, étant rappelé qu'ils ont le devoir de s'assurer que ces derniers étaient autorisés à exercer une activité lucrative en Suisse, conformément à l'art. 91 LEI. Or, il est établi et nullement contesté que l'appelant savait que son employée était irrégulière en Suisse. Il ne peut dès lors se prévaloir du principe de la bonne foi pour échapper à toute sanction. Au demeurant, même à considérer qu'il avait été l'instigateur des démarches entreprises par son employée et qu'il avait alors agi de bonne foi, ces éléments auraient uniquement pu avoir une incidence sur sa peine et non sur sa culpabilité et ce, pour autant qu'aucun autre comportement illicite ne pouvait lui être reproché, ce qui n'est pas le cas ici dès lors qu'il a sous-payé son employée durant la période concernée en ne respectant pas les minima légaux, enfreignant ainsi l'art. 87 al. 2 LAVS, pour lequel sa culpabilité est acquise. Partant, l'appel sera rejeté et le jugement confirmé en ce qui concerne la culpabilité de l'appelant pour les deux infractions retenues à son encontre en première instance.</w:t>
      </w:r>
    </w:p>
    <w:p>
      <w:r>
        <w:rPr>
          <w:b/>
        </w:rPr>
        <w:t>E. 3</w:t>
      </w:r>
    </w:p>
    <w:p>
      <w:r>
        <w:t>Selon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car c'est la capacité économique réelle de fournir une prestation qui est déterminante (ATF 142 IV 315 consid. 5.3.2 ; arrêt du Tribunal fédéral 6B_133/2018 du 27 juillet 2018 consid. 3.1). La situation à prendre en compte est celle existant au moment où le juge du fait statue (ATF 142 IV 315 consid. 5.3.2).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ou encore des cotisations à l'assurance-maladie et accidents obligatoires (ATF 142 IV 315 consid. 5.3.2 ; arrêt du Tribunal fédéral 6B_133/2018 du 27 juillet 2018 consid. 3.1). En règle générale, les intérêts hypothécaires et les frais de logement ne peuvent pas être déduits (ATF 134 IV 60 consid. 6.4 ; 142 IV 315 consid. 5.3.4 ; arrêt du Tribunal fédéral 6B_845/2009 du 11 janvier 2010 consid. 1.1.4 in SJ 2010 I 205). Le minimum vital que le juge doit prendre en considération est inférieur à celui qui est prévu par l'art. 93 de la loi fédérale sur la poursuite pour dettes et la faillite (LP), qui comprend des sommes déjà prises en compte par le juge pénal. De plus, le minimum vital établi par la LP inclut un certain montant à titre de loisirs, qui ne saurait être soustrait au paiement de la peine pécuniaire. Le système des jours-amende s'applique en effet à tout individu, ce qui n'exclut pas ceux qui ont un revenu très bas, voire inférieur au minimum vital (M. DUPUIS / L. MOREILLON / C. PIGUET / S. BERGER / M. MAZOU / V. RODIGARI [éds], Code pénal - Petit commentaire, 2 ème éd., Bâle 2017, n. 23 et 24 ad art. 34).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 134 IV 60 consid. 6.1 ; arrêts du Tribunal fédéral 6B_793/2017 du 18 avril 2018 consid. 2.1 ; 6B_845/2009 du 11 janvier 2010 consid. 1.1.2). La loi mentionne la fortune parmi les critères d'évaluation. Il s'agit de la substance même du patrimoine, les fruits de ce dernier constituant déjà des revenus. Cette dernière ne doit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142 IV 315 consid. 5.3.3 ; 134 IV 60 consid. 6.2 ; arrêts du Tribunal fédéral 6B_133/2018 du 27 juillet 2018 consid. 3.1 ; 6B_793/2017 du 18 avril 2018 consid. 2.1 ; 6B_845/2009 du 11 janvier 2010 consid. 1.1.4). Fondamentalement, l'accusé a le droit de ne pas collaborer à l'instruction et de refuser de fournir au juge les informations relatives à sa situation patrimoniale. Le juge dispose cependant d'un large pouvoir d'appréciation, lui permettant de procéder à une estimation du montant du jour-amende en fonction des informations dont il dispose L.  MOREILLON / A. MACALUSO / N. QUELOZ / N. DONGOIS (éds), Commentaire romand, Code pénal I, art. 1-110 CP, 2 ème éd., Bâle 2021, n. 44 ad art. 34). L'accusé ne peut dans ce cas se prévaloir du principe in dubio pro reo (cf. arrêt du Tribunal fédéral 6P_155/2006 du 28 décembre 2006 consid. 10.3). Le train de vie peut aussi être pris en compte lorsque le revenu doit être estimé car son établissement exact s'avère impossible ou car l'auteur ne fournit pas d'indication suffisante à ces fins (ATF 134 IV 60 consid. 6.3 ; arrêts du Tribunal fédéral 6B_152/2007 du 13 mai 2008 consid. 8.4.1 et 6B_568/2012 du 16 novembre 2012). Une augmentation de la quotité du jour-amende est alors justifiée lorsqu'un train de vie ostensiblement élevé contraste avec des revenus significativement bas (ATF 134 IV 60 consid. 6.3 ; arrêt du Tribunal fédéral 6B_845/2009 du 11 janvier 2010 consid. 1.1.3).</w:t>
      </w:r>
    </w:p>
    <w:p>
      <w:r>
        <w:rPr>
          <w:b/>
        </w:rPr>
        <w:t>E. 3.2</w:t>
      </w:r>
    </w:p>
    <w:p>
      <w:r>
        <w:t>Les faits reprochés à l'appelant sont à la fois antérieurs et postérieurs à l'entrée en vigueur du nouveau droit des sanctions. Dans la mesure où les principes régissant la fixation de la peine postulent le prononcé d'une peine d'ensemble et d'une peine pécuniaire, la peine sera fixée selon le nouveau droit, qui lui est plus favorable (art. 2 al. 2 CP), vu que le quantum de la peine menace est de 180 jours amende (art. 34 al. 1 CP) et non plus de 360 jours amende (arrêt du Tribunal fédéral 6B_712/2018 du 18 décembre 2019 consid. 3.1).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Tätkomponente). Du point de vue subjectif, sont pris en compte l'intensité de la volonté délictuelle ainsi que les motivations et les buts de l'auteur (subjektive Tätkomponente).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3.3.4</w:t>
      </w:r>
    </w:p>
    <w:p>
      <w:r>
        <w:t>Le juge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1 consid. 4.5.2 ; 134 IV 60 consid. 7.3.2).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Les peines combinées, dans leur somme totale, doivent en tout état être adaptées à la faute. L'adéquation entre la culpabilité et la sanction peut justifier d'adapter la peine principale en considération de la peine accessoire (ATF 134 IV 53 consid. 5.2 ; arrêt du Tribunal fédéral 6B_952/2016 du 29 août 2017 consid. 3.1).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 du Tribunal fédéral 6B_903/2015 du 21 septembre 2016 consid. 1.2).</w:t>
      </w:r>
    </w:p>
    <w:p>
      <w:r>
        <w:rPr>
          <w:b/>
        </w:rPr>
        <w:t>E. 3.3.5</w:t>
      </w:r>
    </w:p>
    <w:p>
      <w:r>
        <w:t>Selon l'art. 42 al. 1 CP, le juge suspend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 3.4.1. La faute de l'appelant n'est de loin pas négligeable. Il a employé une domestique, pourtant démunie d'une autorisation de travailler en Suisse, qu'il a sous-payée de sorte qu'il ne s'est pas acquitté de l'intégralité des cotisations sociales dues, transgressant ainsi tant la législation en vigueur en matière d'assurances sociales qu'en matière de migration. Il a agi de la sorte alors même qu'il considérait sa subordonnée comme un membre de sa famille, ce qui est d'autant plus choquant. Son mobile relève de la volonté de faire prévaloir ses propres intérêts, notamment pécuniaires, sur ceux des autres, soit un mobile égoïste. Pourtant, sa situation personnelle et financière n'explique ni n'excuse ses actes, bien au contraire. Il disposait à l'époque d'une importante fortune qui lui aurait permis de rémunérer convenablement une employée régulière en Suisse et de respecter ses obligations. Sa collaboration a été mauvaise. Il a certes admis les faits mais ne pouvait les contester au vu du dossier. Il a tenté de se dédouaner en prétendant qu'il était à l'origine des démarches entreprises par son employée, alors même que tel n'était pas le cas. Durant toute la procédure, il a également sciemment entretenu un flou sur sa situation financière, en s'abstenant, même encore en appel, de donner la moindre information précise sur ses revenus ou le sort de sa fortune. Il n'a fait au demeurant rien pour diminuer son train de vie qu'il prétend pourtant ne plus pouvoir financer, en pointant son manque de liquidités, tout en passant sous silence les montants crédités ces deux dernières années sur ses comptes bancaires, équivalent pourtant à CHF 275'371.91 au total. Il a de surcroît hérité de plusieurs millions, dont il n'a jamais documenté le sort. Malgré les multiples avertissements et arrangements financiers convenus, l'appelant n'a fourni aucun effort pour assainir sa situation, préférant maintenir sa qualité de vie au détriment de ses obligations. Cette persévérance, doublée de sa tendance à la victimisation, dénote une prise de conscience nulle. Il n'a pas d'antécédent, ce qui est un facteur neutre pour la peine. Sa responsabilité est pleine et entière. Il y a concours d'infractions, facteur d'aggravation de la peine. 3.4.2.1. À l'instar du TP, la Cour considère que la peine pécuniaire fixée à 150 jours-amende est adéquate au vu des circonstances et compte tenu du prononcé de l'amende immédiate (cf. infra consid . 3.4.2.2. ), et ce, même en prenant en considération la prescription. Il en va de même de l'octroi du sursis complet ainsi que la durée du délai d'épreuve de trois ans, non contestés en appel (art. 391 al. 2 CPP). 3.4.2.2. Afin de tenir compte adéquatement de la faute de l'appelant, vu l'absence de prise de conscience de ses agissements, de son attitude tout au long de la procédure et du fait qu'il n'a procédé à aucun remboursement, pas même partiel, des sommes dues encore à ce jour, l'amende à titre de sanction immédiate, à hauteur de CHF 7'800.-, laquelle entre dans la fourchette des 20% de la peine principale (cf. infra consid . 3.4.2.3. ), est justifiée à des fins de prévention spéciale et sera partant confirmée, tout comme les 30 jours de peine privative de liberté de substitution. Dans ces conditions, la sanction de l'infraction abstraitement la plus grave (art. 117 al. 1 LEI) peut être fixée à 90 jours, augmentée de 60 jours, afin de tenir compte de l'infraction à l'art. 87 al. 2 LAVS (peine hypothétique de 80 jours). La peine fixée par le premier juge sera partant confirmée. 3.4.2.3. Pour ce qui est de la quotité du jour-amende, l'appelant ne formule aucun grief spécifique à cet égard, ni sur la manière dont son revenu a été calculé par le premier juge. Il ne dit mot également sur sa fortune, notamment sur les circonstances de sa diminution ces dernières années. Il se contente d'alléguer que sa situation financière s'est modifiée depuis la procédure préliminaire, sans pour autant l'attester ni la documenter, attitude qui lui a d'ailleurs été reprochée tout au long de la procédure. La situation financière de l'appelant manque assurément de clarté, que ce soit en ce qui concerne ses revenus comme sa fortune. En effet, ses déclarations ne sont pas crédibles au vu des éléments au dossier. Les CHF 6'850.- net par mois, allocations familiales comprises, allégués par ce dernier devant le premier juge ne coïncident en effet ni avec la vente des certificats d'actions (entre quatre ou cinq par année à raison de CHF 10'000.- à CHF 20'000.- le produit, soit CHF 6'250.- en moyenne par mois [(5 x 15'000.-) / 12]), ni avec son revenu en tant qu'indépendant qu'il prétend percevoir (entre CHF 30'000.- et CHF 40'000.- par an, soit une moyenne de CHF 2'916.65 [CHF 35'000.- / 12]), ni même avec celui retenu par l'Office des poursuites (CHF 7'408.-), étant souligné que l'appelant n'a pas contesté ce montant au TP, ajoutant même qu'il ne prenait pas en compte la vente des certificats d'actions. Le revenu qu'il prétend percevoir ne correspond également ni avec son revenu net figurant dans son avis de taxation 2021 (CHF 118'845.- par année, soit CHF 9'903.75 par mois), étant précisé que le concerné a déclaré au TP avoir débuté son activité indépendante dès 2021, ni même avec ses relevés bancaires, lesquels font état d'un montant mensuel moyen crédité de CHF 11'473.80 (CHF 275'371.21 sur 24 mois, soit d'octobre 2021 à septembre 2023), montant qui ne prend pas en compte les éventuelles entrées d'argent au mois de novembre 2022 sur le compte D______ et au mois de septembre 2023 sur le compte E______, en l'absence des relevés y afférents. Les allégations de l'appelant, selon lesquelles sa fortune brute aurait diminué en raison uniquement de pertes sèches, ne sont pas non plus convaincantes dans la mesure où il n'a fourni aucune preuve à cet égard et qu'il apparaît peu probable qu'il ait perdu pour ce seul motif, entre 2016 et 2021, CHF 6'417'921.- (CHF 9'000'000.- en 2016, selon ses indications, passant à CHF 6'966'288.- en 2019 et à CHF 2'582'079.- en 2021, à teneur de ses avis de taxation 2019 et 2021), fortune dont il espérait pourtant pouvoir en vivre, étant relevé que, comme l'a à juste titre relevé le TP, la fortune brute immobilière déclarée à CHF 216'380 en 2021 n'apparaît pas prendre en compte tous les terrains dont l'appelant dit être propriétaire (soit au Maroc [CHF 500'000.- environ], en Argentine [CHF 2'000'000 environ] ainsi qu'à H______ [GE]), pourtant pertinents pour apprécier l'intégralité de sa fortune. Celle-ci est ainsi loin d'être "perdue", comme le prétend l'appelant. Le concerné ne conteste de surcroît pas en tant que tel les charges retenues par le premier juge, estimées à CHF 5'736.36, qui sont adéquates et conformes à la loi et ce, même si elles s'écartent légèrement de celles retenues par l'Office des poursuites, étant souligné que la saisie sur revenu dont l'appelant fait l'objet n'a pas à être comptabilisée, celui-ci étant en effet à même de réaliser son importante fortune pour solder ses dettes, en particulier par la vente de son terrain au Maroc qui, hormis d'ultimes obstacles administratifs, semble être imminente, selon les déclarations mêmes de l'appelant devant le premier juge. Au vu de ce qui précède, et notamment de l'opacité entourant la situation financière effective de l'appelant et de ses nombreuses déclarations contradictoires, le TP pouvait, sans abuser de son pouvoir d'appréciation, procéder à une estimation de sa situation financière pour fixer le montant du jour-amende, estimation qui l'a à juste titre conduit à fixer ce montant à CHF 260.- [((CHF 7'408.- + CHF 6'250.-) – CHF 5'736.36) / 30 = CHF 264.05]. En effet, l'appelant ayant reconnu utiliser des éléments qu'il considère faire partie de sa fortune pour ses besoins quotidiens, le TP pouvait de bon droit prendre en compte ladite fortune, soit en particulier la vente des certificats d'actions, pour fixer le montant du jour-amende, en sus du revenu de son activité d'indépendant. Son train de vie élevé, contrastant manifestement avec des revenus déclarés significativement bas, constituait un argument supplémentaire pour retenir un montant plus élevé du jour-amende. 3.4.3. L'appel sera donc entièrement rejeté.</w:t>
      </w:r>
    </w:p>
    <w:p>
      <w:r>
        <w:rPr>
          <w:b/>
        </w:rPr>
        <w:t>E. 4.1</w:t>
      </w:r>
    </w:p>
    <w:p>
      <w:r>
        <w:t>L'appelant, qui succombe intégralement, supportera les frais de la procédure envers l'État, comprenant un émolument de jugement de CHF 1'500.- (art. 428 al. 1 CPP). Sa culpabilité étant acquise, la mise à sa charge des frais de première instance sera aussi confirmée (art. 426 al. 1 CPP), étant relevé que le classement partiel de la procédure n'est dû qu'à la prescription de sorte que l'art. 426 al. 2 CP lui est également applicable.</w:t>
      </w:r>
    </w:p>
    <w:p>
      <w:r>
        <w:rPr>
          <w:b/>
        </w:rPr>
        <w:t>E. 4.2</w:t>
      </w:r>
    </w:p>
    <w:p>
      <w:r>
        <w:t>Il sera par voie de conséquence et pour les mêmes motifs que précités (cf. art. 430 al. 1 let. a CPP) débouté de l'intégralité de ses conclusions en indemnisation (art.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