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P/9059/2020 vom 15. Oktober 2020</w:t>
      </w:r>
    </w:p>
    <w:p>
      <w:r>
        <w:t>GE Cour de justice, 2020-10-15, FR</w:t>
      </w:r>
    </w:p>
    <w:p>
      <w:r>
        <w:rPr>
          <w:b/>
        </w:rPr>
        <w:t xml:space="preserve">Quelle: </w:t>
      </w:r>
      <w:r>
        <w:t>https://mcp.opencaselaw.ch/entscheid/ge_gerichte_P_9059_2020</w:t>
      </w:r>
    </w:p>
    <w:p>
      <w:r>
        <w:t>FR: GE_GERICHTE P/9059/2020 du 15 octobre 2020</w:t>
      </w:r>
    </w:p>
    <w:p>
      <w:r>
        <w:t>IT: GE_GERICHTE P/9059/2020 del 15 ottobre 2020</w:t>
      </w:r>
    </w:p>
    <w:p>
      <w:pPr>
        <w:pStyle w:val="Heading2"/>
      </w:pPr>
      <w:r>
        <w:t>Regeste</w:t>
      </w:r>
    </w:p>
    <w:p>
      <w:r>
        <w:t>MENACE(DROIT PÉNAL);VOL(DROIT PÉNAL);ASSISTANCE JUDICIAIRE | CPP.310; CP.180; CP.139; CP.137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Dès lors que la Chambre de céans jouit d'un plein pouvoir de cognition en droit et en fait (art. 393 al. 2 CPP) (ATF 137 I 195 consid. 2.3.2 p. 197; arrêt du Tribunal fédéral 1B_524/2012 du 15 novembre 2012 consid. 2.1), les éventuelles constatations incomplètes ou inexactes du Ministère public auront été corrigées dans l'état de fait établi ci-devant. Partant, le grief de la recourante y relatif sera rejeté.</w:t>
      </w:r>
    </w:p>
    <w:p>
      <w:r>
        <w:rPr>
          <w:b/>
        </w:rPr>
        <w:t>E. 3</w:t>
      </w:r>
    </w:p>
    <w:p>
      <w:r>
        <w:t>La recourante se plaint d'une violation de son droit d'être entendue, dès lors qu'elle n'a pas participé à l'administration des preuves avant que le Ministère public ne rende l'ordonnance querellée.</w:t>
      </w:r>
    </w:p>
    <w:p>
      <w:r>
        <w:rPr>
          <w:b/>
        </w:rPr>
        <w:t>E. 3.1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140 I 285 consid. 6.3.1).</w:t>
      </w:r>
    </w:p>
    <w:p>
      <w:r>
        <w:rPr>
          <w:b/>
        </w:rPr>
        <w:t>E. 3.2</w:t>
      </w:r>
    </w:p>
    <w:p>
      <w:r>
        <w:t>Diverses mesures d'investigation peuvent être mises en oeuvre avant l'ouverture d'une instruction, telle que l'audition des lésés et suspects par la police sur délégation du ministère public (art. 206 al. 1 et 306 al. 2 let. b cum art. 309 al. 2 CPP; arrêt du Tribunal fédéral 6B_875/2018 du 15 novembre 2018 consid. 2.2.1). Durant cette phase préalable, le droit de participer à l'administration des preuves ne s'applique en principe pas (art. 147 al. 1 CPP a contrario ).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3.3</w:t>
      </w:r>
    </w:p>
    <w:p>
      <w:r>
        <w:t>En l'occurrence, les auditions du mis en cause et de E______ ont été effectuées dans le cadre des investigations policières, sans que le Ministère public n'ouvre une instruction. Dans ces circonstances, la procédure n'a pas dépassé la phase des premières investigations, ce qui permettait au Ministère public de rendre une ordonnance de non-entrée en matière et, partant, le dispensait d'interpeller ou entendre la recourante ou de lui octroyer un délai pour déposer des réquisitions de preuves. Pour le surplus, la recourante a pu faire valoir devant la Chambre de céans les arguments qu'elle estimait pertinents. Son droit d'être entendue a ainsi été pleinement respecté. Il s'ensuit que le grief doit être rejeté.</w:t>
      </w:r>
    </w:p>
    <w:p>
      <w:r>
        <w:rPr>
          <w:b/>
        </w:rPr>
        <w:t>E. 4</w:t>
      </w:r>
    </w:p>
    <w:p>
      <w:r>
        <w:t>La recourante reproche au Ministère public de ne pas être entré en matière sur sa plainte.</w:t>
      </w:r>
    </w:p>
    <w:p>
      <w:r>
        <w:rPr>
          <w:b/>
        </w:rPr>
        <w:t>E. 4.1</w:t>
      </w:r>
    </w:p>
    <w:p>
      <w:r>
        <w:t>Aux termes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qui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 arrêt 6B_635/2018 du 24 octobre 2018).</w:t>
      </w:r>
    </w:p>
    <w:p>
      <w:r>
        <w:rPr>
          <w:b/>
        </w:rPr>
        <w:t>E. 4.2</w:t>
      </w:r>
    </w:p>
    <w:p>
      <w:r>
        <w:t>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 arrêt du Tribunal fédéral 6B_116/2019 du 11 mars 2019 consid. 2.1).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w:t>
      </w:r>
    </w:p>
    <w:p>
      <w:r>
        <w:rPr>
          <w:b/>
        </w:rPr>
        <w:t>E. 5.1</w:t>
      </w:r>
    </w:p>
    <w:p>
      <w:r>
        <w:t>L'art. 139 ch. 1 CP punit, du chef de vol, celui qui, pour se procurer ou procurer à un tiers un enrichissement illégitime, aura soustrait une chose mobilière appartenant à autrui dans le but de se l'approprier. Le comportement délictueux consiste à soustraire la chose. Autrement dit, une autre personne avait la possession de la chose (même non exclusive), l'auteur la lui enlève contre sa volonté et prend ainsi sa place. Le lésé devait être possesseur de la chose et l'auteur, par la soustraction, a acquis une possession qu'il n'avait pas auparavant (B. CORBOZ, Les infractions en droit suisse , vol. I, Berne 2010, n. 2 ad art. 139 CP). L'auteur du vol doit soustraire la chose dans le but de se l'approprier. Ainsi, il ne suffirait pas que l'auteur ait le dessein d'utiliser temporairement la chose ou de la détruire, il faut qu'il veuille l'incorporer à son patrimoine en vue de la conserver ou de l'aliéner (B. CORBOZ, op. cit , n. 9 ad art. 139 CP).</w:t>
      </w:r>
    </w:p>
    <w:p>
      <w:r>
        <w:rPr>
          <w:b/>
        </w:rPr>
        <w:t>E. 5.2</w:t>
      </w:r>
    </w:p>
    <w:p>
      <w:r>
        <w:t>Selon l'art. 137 al. 1 CP, qui est subsidiaire à l'art. 139 CP, est coupable d'appropriation illégitime celui qui, pour se procurer ou procurer à un tiers un enrichissement illégitime, se sera approprié une chose mobilière appartenant à autrui</w:t>
      </w:r>
    </w:p>
    <w:p>
      <w:r>
        <w:rPr>
          <w:b/>
        </w:rPr>
        <w:t>E. 5.3</w:t>
      </w:r>
    </w:p>
    <w:p>
      <w:r>
        <w:t>En l'espèce, la recourante soutient que ses vêtements ainsi que des médicaments lui auraient été dérobés par le mis en cause, qui les aurait entreposés dans sa résidence secondaire. Elle explique être parvenue à récupérer une partie de ses affaires, le 7 mars 2020, mais ne pas avoir trouvé trace de ses médicaments. Le mis en cause, conteste, quant à lui, tout vol ou appropriation, soutenant que la recourante aurait elle-même déposé, trois ans auparavant, ses effets personnels dans la maison familiale, à laquelle elle avait accès librement. Lors de leur altercation du 19 février 2020, il lui aurait, par ailleurs, demandé de débarrasser les lieux des divers objets lui appartenant. Ces explications sont corroborées par les déclarations de E______, lequel a indiqué à la police que la recourante avait vécu, avant leur union, dans le logement en question et y avait entreposé ses effets personnels, qu'elle avait depuis récupéré. Ainsi, hormis les déclarations de la recourante, le dossier ne recèle aucun indice concret et concluant laissant à penser que le mis en cause lui aurait dérobé des vêtements ainsi que des médicaments, qu'elle ne détaille du reste pas. L'on ne comprend en outre pas quel mobile aurait poussé l'intéressé à lui subtiliser lesdits objets, étant observé que la recourante ne fournit aucune explication plausible à cet égard. Pour le surplus, quand bien même le mis en cause aurait déplacé ces biens dans sa résidence secondaire, la recourante reconnaît y avoir accès librement. Dans ces conditions, rien ne permet de fonder le soupçon d'un dessein d'enrichissement de la part de C______ ni l'existence d'une soustraction ou d'une appropriation, au sens des art. 137 et 139 CP. Partant, c'est à bon droit que le Ministère public a considéré que l'enquête menée par la police n'avait pas donné de résultats probants et qu'aucune investigation supplémentaire ne paraissait susceptible d'établir les allégations dénoncées. Ce grief sera, par conséquent, rejeté et l'ordonnance querellée confirmée sur ce point.</w:t>
      </w:r>
    </w:p>
    <w:p>
      <w:r>
        <w:rPr>
          <w:b/>
        </w:rPr>
        <w:t>E. 6.1</w:t>
      </w:r>
    </w:p>
    <w:p>
      <w:r>
        <w:t>L'art. 180 al. 1 CP puni, sur plainte, celui qui, par une menace grave, aura alarmé ou effrayé une personne.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affective (ATF 117 IV 445 consid. 2b ; ATF 106 IV 125 consid. 2a), ni que l'auteur ait réellement la volonté de réaliser sa menace (ATF 105 IV 120 consid. 2a).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Les menaces de lésions corporelles graves ou de mort doivent être considérées comme des menaces graves au sens de l'art. 180 CP (arrêt du Tribunal fédéral 6B_787/2018 du 1er octobre 2018 consid. 3.1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6B_1314/2018 du 29 janvier 2019 consid. 3.2.1). Subjectivement, l'auteur doit avoir l'intention non seulement de proférer des menaces graves, mais aussi d'alarmer ou d'effrayer le destinataire. Le dol éventuel suffit (TF 6B_1314/2018 précité consid. 3.2.1 et les références citées).</w:t>
      </w:r>
    </w:p>
    <w:p>
      <w:r>
        <w:rPr>
          <w:b/>
        </w:rPr>
        <w:t>E. 6.2</w:t>
      </w:r>
    </w:p>
    <w:p>
      <w:r>
        <w:t>En l'espèce, la recourante allègue que le mis en cause l'aurait menacée, le 19 février 2020, en tenant les propos suivants : " je vais te tuer " ou " je ne peux pas te tuer ici, quand tu seras en Bosnie, je vais envoyer quelqu'un te tuer ". De tels propos sont sans conteste de nature à objectivement susciter une réaction d'effroi chez une personne raisonnable et peuvent être qualifiés de graves. Les déclarations de la recourante n'apparaissent, à ce stade, pas moins crédibles que celles du mis en cause. Au contraire, elles sont corroborées par celles de E______, qui a reconnu avoir entendu, le jour des faits litigieux, son père menacer son épouse de la tuer. Aussi, de ses propres aveux, le mis en cause a admis avoir indiqué à la recourante qu'il serait préférable qu'elle quitte définitivement le logement qu'elle occupait avec E______, "avant que quelqu'un puisse, peut-être, mourir ici ". Il a également reconnu craindre que leur conflit s'exacerbe au point d'entraîner un blessé ou une mort accidentelle. S'agissant enfin de l'élément subjectif de l'infraction, force est de constater qu'en tenant les propos précités, le mis en cause ne pouvait qu'avoir conscience, ou à tout le moins, avoir accepté de susciter objectivement de la crainte chez la recourante. À cet égard, il ressort des divers certificats médicaux, versés au dossier, que la recourante avait effectivement été alarmée ou effrayée par les propos tenus par ce dernier et souffrait, depuis l'altercation, d'un état anxio-dépressif et d'une hypertension sévère. Dans ces circonstances, il appartenait au Ministère public, en application de la jurisprudence précitée, d'instruire davantage la cause, cas échéant en procédant à une confrontation des protagonistes et éventuellement à l'audition des médecins ayant examiné la plaignante, voire de renvoyer l'affaire en jugement. Les conditions pour rendre une ordonnance de non-entrée en matière n'étaient ainsi pas réunies sur ce point.</w:t>
      </w:r>
    </w:p>
    <w:p>
      <w:r>
        <w:rPr>
          <w:b/>
        </w:rPr>
        <w:t>E. 7</w:t>
      </w:r>
    </w:p>
    <w:p>
      <w:r>
        <w:t>Partiellement fondé, le recours sera admis. Partant, l'ordonnance querellée sera annulée en tant qu'elle portait sur l'art. 180 CP et la cause renvoyée au Ministère public pour l'ouverture d'une instruction.</w:t>
      </w:r>
    </w:p>
    <w:p>
      <w:r>
        <w:rPr>
          <w:b/>
        </w:rPr>
        <w:t>E. 8</w:t>
      </w:r>
    </w:p>
    <w:p>
      <w:r>
        <w:t>La recourante obtenant gain de cause sur le point principal de son recours, les frais de la procédure de recours seront laissés à la charge de l'État (art. 428 al. 4 CPP).</w:t>
      </w:r>
    </w:p>
    <w:p>
      <w:r>
        <w:rPr>
          <w:b/>
        </w:rPr>
        <w:t>E. 9</w:t>
      </w:r>
    </w:p>
    <w:p>
      <w:r>
        <w:t>La recourante demande le bénéfice de l'assistance judiciaire pour la procédure de recours.</w:t>
      </w:r>
    </w:p>
    <w:p>
      <w:r>
        <w:rPr>
          <w:b/>
        </w:rPr>
        <w:t>E. 9.1</w:t>
      </w:r>
    </w:p>
    <w:p>
      <w:r>
        <w:t>Conformément à l'art. 136 al. 1 CPP, qui concrétise dans la loi de procédure pénale les principes constitutionnels sus-évoqués, l'assistance judiciaire est accordée à la partie plaignante pour lui permettre de faire valoir ses prétentions civiles si elle est indigente (let. a) et si l'action civile ne paraît pas vouée à l'échec (let. b). L'assistance judiciaire gratuite en faveur de la partie plaignante est limitée à un but précis, à savoir de permettre à cette partie de faire valoir ses prétentions civiles. À cela s'ajoute que la partie plaignante doit être indigente et sa cause ne doit pas être dénuée de toute chance de succès. L'assistance judiciaire comprend l'exonération d'avance de frais et de sûretés (al. 2 let. a), l'exonération des frais de procédure (let. b) et la désignation d'un conseil juridique gratuit, lorsque la défense des intérêts de la partie plaignante l'exige (let. c).</w:t>
      </w:r>
    </w:p>
    <w:p>
      <w:r>
        <w:rPr>
          <w:b/>
        </w:rPr>
        <w:t>E. 9.2</w:t>
      </w:r>
    </w:p>
    <w:p>
      <w:r>
        <w:t>Selon l'art. 16 al. 1 RAJ, l'indemnité due à l'avocat et au défenseur d'office en matière pénale est calculée selon le tarif horaire pour un chef d'étude à CHF 200.- (let. c). La TVA est versée en sus. Selon l'al. 2 de cette disposition, seules les heures nécessaires sont retenues. Elles sont appréciées en fonction notamment de la nature, de l'importance et des difficultés de la cause, de la valeur litigieuse, de la qualité du travail fourni et du résultat obtenu. 9.3.1. Compte tenu de ce qui vient d'être exposé, les démarches en justice de la recourante ne sont pas injustifiées, et la suite de la procédure paraît suffisamment délicate pour appeler le concours d'un conseil juridique. L'indigence de la recourante, qui émarge à l'aide sociale, est en outre établie par les pièces produites à l'appui de son recours. Partant, l'assistance judiciaire sera accordée à l'intéressée et Me B______, actuelle conseil de la recourante, désignée en qualité de conseil juridique gratuit. 9.3.2. Du détail des activités de son avocate, il ressort 5 heures et 30 minutes consacrées à la préparation du recours. Cette durée est excessive. Compte tenu de l'ampleur de l'écriture de recours (qui comprend 10 pages, dont seules 3 pages et demie sont consacrées à la discussion juridique et une page de réplique) et du fait que la recourante n'obtient que partiellement gain de cause, ce montant sera réduit à CHF 600.-, auquel s'ajoutera la TVA à 7.7%.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