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P/9056/2021 vom 28. Juni 2023</w:t>
      </w:r>
    </w:p>
    <w:p>
      <w:r>
        <w:t>GE Cour de justice, 2023-06-28, FR</w:t>
      </w:r>
    </w:p>
    <w:p>
      <w:r>
        <w:rPr>
          <w:b/>
        </w:rPr>
        <w:t xml:space="preserve">Quelle: </w:t>
      </w:r>
      <w:r>
        <w:t>https://mcp.opencaselaw.ch/entscheid/ge_gerichte_P_9056_2021</w:t>
      </w:r>
    </w:p>
    <w:p>
      <w:r>
        <w:t>FR: GE_GERICHTE P/9056/2021 du 28 juin 2023</w:t>
      </w:r>
    </w:p>
    <w:p>
      <w:r>
        <w:t>IT: GE_GERICHTE P/9056/2021 del 28 giugno 2023</w:t>
      </w:r>
    </w:p>
    <w:p>
      <w:pPr>
        <w:pStyle w:val="Heading2"/>
      </w:pPr>
      <w:r>
        <w:t>Regeste</w:t>
      </w:r>
    </w:p>
    <w:p>
      <w:r>
        <w:t>MESURE THÉRAPEUTIQUE INSTITUTIONNELLE;EXPERTISE PSYCHIATRIQUE;TRAITEMENT AMBULATOIRE;DÉLINQUANT ANORMAL;ACTE COMMIS EN ÉTAT D'IRRESPONSABILITÉ FAUTIVE;MENACE(DROIT PÉNAL);INJURE | CP.180; CP.177; CP.56.al1; CP.59.al1; CP.63.al1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2.1.2.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(art. 56 al. 3 CP). Dans ce cadre, l'expert devra se prononcer, en particulier, sur la forme du traitement et la mesure qui lui semble la plus appropriée (ATF 101 IV 124 consid. 3b p. 128 ; arrêt du Tribunal fédéral 6B_371/2016 du 10 février 2017 consid. 1.1.4), étant toutefois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(arrêt du Tribunal fédéral 6B_1160/2017 du 17 avril 2018 consid. 2.1).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de la Constitution fédérale de la Confédération suisse (Cst. ; ATF 142 IV 49 consid. 2.3.1 p. 53). 2.1.3. Selon l'art. 59 al. 1 CP, lorsque l'auteur souffre d'un grave trouble mental, le juge peut ordonner un traitement institutionnel si l'auteur a commis un crime ou un délit en relation avec ce trouble et s'il est à prévoir que cette mesure le détournera de nouvelles infractions en relation avec ce trouble. Selon la jurisprudence, cette dernière condition est réalisée lorsqu'au moment de la décision, il est suffisamment vraisemblable qu'un traitement institutionnel entraînera dans les cinq ans de sa durée normale une réduction nette du risque de récidive (ATF 140 IV 1 consid. 3.2.4 p. 9 ; 134 IV 315 consid. 3.4.1 p. 321 s.). Le traitement institutionnel s'effectue dans un établissement psychiatrique approprié ou dans un établissement d'exécution des mesures (art. 59 al. 2 CP). 2.1.4. Aux termes de l'art. 63 al. 1 CP, lorsque l'auteur souffre d'un grave trouble mental, est toxico-dépendant ou souffre d'une autre addiction, le juge peut ordonner un traitement ambulatoire au lieu d'un traitement institutionnel, si l'auteur a commis un acte punissable en relation avec son état et s'il est à prévoir que ce traitement le détournera de nouvelles infractions en relation avec son état. 2.1.5. Toute sanction pénale qui restreint un droit fondamental doit respecter le principe de proportionnalité (art. 36 al. 2 et 3 Cst.). En matière de mesures, ce principe a été concrétisé à l'art. 56 al. 2 CP.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(arrêt du Tribunal fédéral 6B_109/2013 du 19 juillet 2013 consid. 4.4.1).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L'importance de l'intérêt public à la prévention d'infractions futures doit se déterminer d'après cette vraisemblance et la gravité des infractions en question. Plus les infractions que l'auteur pourrait commettre sont graves, plus le risque qui justifie le prononcé d'une mesure peut être faible, et inversement. L'atteinte aux droits de la personnalité de l'auteur dépend, quant à elle, non seulement de la durée de la mesure, mais également des modalités de l'exécution. Plus la durée de la mesure - et avec elle la privation de liberté de la personne concernée - est longue, plus strictes seront les exigences quant au respect du principe de la proportionnalité (arrêts du Tribunal fédéral 6B_993/2020 du 13 octobre 2020 consid. 1.1 ; 6B_608/2018 du 28 juin 2018 consid. 1.1 ; 6B_1317/2017 du 22 mai 2018 consid. 3.1 ; 6B_1167/2014 du 26 août 2015 consid. 3.1 ; 6B_109/2013 du 19 juillet 2013 consid. 4.4.1 et 4.4.4). Au demeurant, l'art. 56a CP rappelle que si plusieurs mesures s'avèrent appropriées, mais qu'une seule est nécessaire, le juge ordonne celle qui porte à l'auteur les atteintes les moins graves (ATF 118 IV 108 consid. 2a).</w:t>
      </w:r>
    </w:p>
    <w:p>
      <w:r>
        <w:rPr>
          <w:b/>
        </w:rPr>
        <w:t>E. 2.2</w:t>
      </w:r>
    </w:p>
    <w:p>
      <w:r>
        <w:t>En l'espèce, comme cela ressort de l'expertise, l'appelante souffre d'un trouble délirant persistant de type érotomaniaque d'intensité sévère en lien avec les infractions commises, trouble qui nécessite des soins et une prise en charge adéquate. La mesure thérapeutique institutionnelle est, sans conteste, propre à améliorer le pronostic légal de la prévenue. Le traitement serait, en effet, de nature à permettre une stabilisation de son état psychique, soit une diminution de ses traits paranoïaques persistants, ainsi qu'une réduction du risque de récidive, qualifié d'élevé. Le principe de l'adéquation est donc respecté. Les experts retiennent également que, dans un premier temps, aucune autre mesure ne permettrait d'atteindre le but visé. Selon eux, une mesure ambulatoire ne permettrait pas une prise en charge adéquate en raison de l'anosognosie dont souffre l'appelante et de son attitude opposante, celle-ci refusant tout traitement médicamenteux. C'est le lieu de souligner ici que le prononcé d'une mesure doit être examiné à l'aune du risque de récidive exclusivement, à savoir qu'il n'incombe aux autorités pénales de contraindre l'appelante à faire soigner son trouble mental que dans les limites de ce risque. Or, force est de constater que sa prise en charge actuelle, qui correspond à une mesure ambulatoire, couplée vraisemblablement à l'effet contenant de la présente procédure, a permis, depuis plus de deux ans, de prévenir toute nouvelle infraction contre l'honneur, hormis la dénonciation à la Commission du barreau en décembre 2021, laquelle n'est toutefois pas l'objet de la présente procédure. Elle n'a ainsi envoyé aucun nouveau message au plaignant, même, semble-t-il, après des rencontres fortuites. Bien qu'elle ne semble pas convaincue de la nécessité de ce suivi, elle continue de se rendre régulièrement au CAPPI et a poursuivi son traitement auprès du Dr E______, puis de I______, ce qui témoigne d'une ébauche de prise de conscience et de la nécessité de recevoir des soins, même si son discours est encore très paradoxal sur certains aspects. Au vu de ce qui précède, une mesure ambulatoire ne paraît pas d'emblée dénuée de chances de succès, de sorte que, sous l'angle de la subsidiarité déjà, elle s'avérerait également appropriée, tout en étant moins invasive. S'agissant de la gravité de l'atteinte aux droits de l'appelante (en tenant compte des modalités d'exécution de la mesure), qui doit être mise en balance avec la nécessité d'un traitement et la vraisemblance que l'auteur commette de nouvelles infractions, précédemment discutées, il appert que sa situation professionnelle a évolué dans un sens favorable depuis la date d'établissement de l'expertise et de son complément. Ses difficultés socioéconomiques, identifiées par les experts comme l'un des quatre facteurs de risque de récidive, sont donc en partie résolues. Elle est également mère de deux enfants mineurs, âgés de 14 et 15 ans, dont elle explique partager la garde avec leur père, qui serait néanmoins malade et dont elle devrait également s'occuper. Une mesure thérapeutique institutionnelle, quand bien même elle se tiendrait en milieu ouvert, aurait inévitablement des répercussions sur sa situation familiale et sociale, mais avant tout sur son intégration professionnelle, ce qui serait de nature à la fragiliser encore davantage. Cette mesure semble également disproportionnée au regard de la gravité relative des infractions que la prévenue, qui n'a qu'un seul antécédent, certes spécifique mais ancien, serait susceptible de commettre à l'avenir, étant précisé que les experts ont relevé qu'elle n'avait jamais manifesté d'intention hétéroagressive contre la partie plaignante. Par conséquent, une mesure ambulatoire est également plus à même de respecter le principe de proportionnalité au sens strict. Au vu de ce qui précède, la mesure institutionnelle au sens de l'art. 59 CP n'apparaît pas comme étant la plus appropriée, de sorte qu'elle sera remplacée par une mesure ambulatoire au sens de l'art. 63 CP. L'appel sera partant admis et le jugement réformé en ce sens.</w:t>
      </w:r>
    </w:p>
    <w:p>
      <w:r>
        <w:rPr>
          <w:b/>
        </w:rPr>
        <w:t>E. 3</w:t>
      </w:r>
    </w:p>
    <w:p>
      <w:r>
        <w:t>L'appel ayant été admis, il ne sera pas perçu de frais (art. 428 CPP a contrario ).</w:t>
      </w:r>
    </w:p>
    <w:p>
      <w:r>
        <w:rPr>
          <w:b/>
        </w:rPr>
        <w:t>E. 4</w:t>
      </w:r>
    </w:p>
    <w:p>
      <w:r>
        <w:t>4.1.1.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4.1.2.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4.1.3. Les séances internes entre le défenseur d'office et son stagiaire, par exemple, ne sont pas indemnisées par l'assistance juridique, la formation du stagiaire n'ayant pas à être rémunérée par ce biais ( AARP/57/2016 du 9 février 2016 consid. 7.2 et 7.3; AARP/307/2014 du 2 juillet 2014 ; AARP/20/2014 du 7 janvier 2014). 4.1.4.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ou au et du bâtiment du Ministère public est arrêtée à CHF 55.- pour les stagiaires, dite rémunération étant allouée d'office par la juridiction d'appel pour les débats devant elle. 4.2.1. En l'occurrence, il convient de retrancher de l'état de frais le temps consacré par les deux stagiaires à la lecture du jugement (15 minutes), à la rédaction de la déclaration d'appel (50 minutes) et aux échanges de courriers avec la CPAR (30 minutes), l'activité adéquate à ce titre étant couverte par le forfait alloué pour les opérations diverses. Seront également écartées les séances internes effectuées par la collaboratrice (30 minutes) et par ses stagiaires (50 minutes), dans la mesure où l'assistance judiciaire n'a pas vocation à rémunérer la formation continue de stagiaires et encore moins d'une avocate brevetée. La durée de l'audience d'appel sera réduite de 30 minutes, plus brève que celle estimée dans la note de frais, et une vacation au Palais de justice à CHF 55.- sera ajoutée. La collaboratrice n'étant pas personnellement assujettie à la TVA, il ne se justifie pas de l'indemniser en sus à ce titre. 4.2.2. En conclusion, la rémunération sera arrêtée à CHF 1'833.40 correspondant à 25 minutes d'activité au tarif de CHF 150.-/heure (CHF 62.50) et 14h05 d'activité au tarif de CHF 110.-/heure (CHF 1'549.20), plus la vacation à CHF 55.- et la majoration forfaitaire de 10% (CHF 166.70), vu l'activité déjà indemnisée.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