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P/9003/2019 vom 4. Juni 2020</w:t>
      </w:r>
    </w:p>
    <w:p>
      <w:r>
        <w:t>GE Cour de justice, 2020-06-04, FR</w:t>
      </w:r>
    </w:p>
    <w:p>
      <w:r>
        <w:rPr>
          <w:b/>
        </w:rPr>
        <w:t xml:space="preserve">Quelle: </w:t>
      </w:r>
      <w:r>
        <w:t>https://mcp.opencaselaw.ch/entscheid/ge_gerichte_P_9003_2019</w:t>
      </w:r>
    </w:p>
    <w:p>
      <w:r>
        <w:t>FR: GE_GERICHTE P/9003/2019 du 4 juin 2020</w:t>
      </w:r>
    </w:p>
    <w:p>
      <w:r>
        <w:t>IT: GE_GERICHTE P/9003/2019 del 4 giugno 2020</w:t>
      </w:r>
    </w:p>
    <w:p>
      <w:pPr>
        <w:pStyle w:val="Heading2"/>
      </w:pPr>
      <w:r>
        <w:t>Regeste</w:t>
      </w:r>
    </w:p>
    <w:p>
      <w:r>
        <w:t>DROIT PÉNAL ADMINISTRATIF | LIA.61; CP.48.lete; CP.97; CP.98</w:t>
      </w:r>
    </w:p>
    <w:p>
      <w:pPr>
        <w:pStyle w:val="Heading2"/>
      </w:pPr>
      <w:r>
        <w:t>Erwägungen</w:t>
      </w:r>
    </w:p>
    <w:p>
      <w:r>
        <w:rPr>
          <w:b/>
        </w:rPr>
        <w:t>E. 1</w:t>
      </w:r>
    </w:p>
    <w:p>
      <w:r>
        <w:t>1.1.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1.4.1. 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 Code de procédure pénale suisse, Bâle 2011, n. 30 ad art. 398). 1.4.2. Le présent appel porte sur une contravention, de sorte que la production de pièces nouvelles en appel est prohibée. Il ne sera ainsi pas tenu compte des pièces produites en appel par les parties, celles-ci n'étant en tout état de cause pas susceptibles d'influer sur l'issue de la procédure et ayant pour partie déjà été produites lors de la procédure préliminaire.</w:t>
      </w:r>
    </w:p>
    <w:p>
      <w:r>
        <w:rPr>
          <w:b/>
        </w:rPr>
        <w:t>E. 2</w:t>
      </w:r>
    </w:p>
    <w:p>
      <w:r>
        <w:t>3.2.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w:t>
      </w:r>
    </w:p>
    <w:p>
      <w:r>
        <w:rPr>
          <w:b/>
        </w:rPr>
        <w:t>E. 2.2</w:t>
      </w:r>
    </w:p>
    <w:p>
      <w:r>
        <w:t>Lorsque l'appréciation des preuves et la constatation des faits sont critiquées en référence au principe in dubio pro reo , celui-ci n'a pas de portée plus large que l'interdiction de l'arbitraire (ATF 138 V 74 consid. 7 p. 82).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2.3.1.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rPr>
          <w:b/>
        </w:rPr>
        <w:t>E. 2.6</w:t>
      </w:r>
    </w:p>
    <w:p>
      <w:r>
        <w:t>L'art. 21 CP prévoit que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La réglementation relative à l'erreur sur l'illicéité repose sur l'idée que le justiciable doit faire tout son possible pour connaître la loi et que son ignorance ne le protège que dans des cas exceptionnels (ATF 129 IV 238 consid. 3.1 ; arrêts 6B_524/2016 du 13 février 2017 consid. 1.3.2; 6B_1102/2015 du 20 juillet 2016 consid. 4.1). Pour exclure l'erreur de droit, il suffit que l'auteur ait eu le sentiment de faire quelque chose de contraire à ce qui se doit ou qu'il eût dû avoir ce sentiment (ATF 104 IV 217 consid. 2 ; arrêt 6B_524/2016 du 13 février 2017 consid. 1.3.2). Toutefois, la possibilité théorique d'apprécier correctement la situation ne suffit pas à exclure l'application de l'art. 21, 1 ère phrase, CP. Ce qui est déterminant c'est de savoir si l'erreur de l'auteur peut lui être reprochée (ATF 116 IV 56 consid. II.3a p. 68 ; arrêt 6B_784/2018 du 4 octobre 2018 consid. 1.1.2).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 arrêt 6B_403/2013 du 27 juin 2013 consid. 1.1).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 arrêt 6S.46/2002 du 24 mai 2002 consid. 4b, publié in SJ 2002 I 441; TRECHSEL/JEAN-RICHARD, Schweizerisches Strafgesetzbuch, Praxiskommentar , 3 e éd., 2018, n° 9 ad art. 21 CP). 3. 3.1.1. En l'espèce, l'appelant invoque une violation de son droit d'être entendu, le TP n'ayant pas évoqué dans son jugement l'email du 13 octobre 2015 de l'AFC pourtant produit en audience de jugement, lequel démontrait que l'AFC avait fourni une garantie qu'aucune procédure pénale ne serait ouverte. Le premier juge n'a certes pas mentionné ce document dans son jugement. Toutefois, à supposer que le droit d'être entendu de l'appelant eût ainsi été violé par le TP, force est de constater qu'il peut être réparé devant la cour cantonale qui dispose de tous les éléments lui permettant de prendre une décision au fond. En effet, le vice n'est pas particulièrement grave et le renvoi de la cause à l'instance inférieure, auquel l'appelant ne conclut au demeurant pas, constituerait une vaine formalité prolongeant la procédure de manière incompatible avec l'intérêt de l'appelant à ce que sa cause soit tranchée dans un délai raisonnable. Il ressort du dossier que l'AFC avait expressément informé l'appelant, par courrier du 4 novembre 2015, que le règlement des prétentions de l'AFC mettrait un terme au contrôle à la date du 31 décembre 2015, mais que l'état de fait constaté constituait une soustraction d'impôt au sens de l'art. 61 LIA et que l'ouverture d'une procédure pénale était réservée. Suite à ce courrier sans équivoque, A______ a payé, sans réserve, les montants requis. L'existence de l'email antérieur de l'AFC datant du 13 octobre 2015 n'y change rien. Cet email n'indique aucunement - pas même implicitement - qu'aucune procédure pénale ne serait ouverte si ses prétentions étaient payées. A cet égard, ses allégués en première instance selon lesquels il n'aurait jamais accepté de payer si un volet pénal devait être ouvert sont douteux au vu du texte clair du courrier du 4 novembre précité. Il est ainsi retenu, avec le premier juge, que l'AFC avait dûment, et préalablement au paiement des montants requis, informé l'appelant qu'une procédure pénale pouvait être ouverte. Ce premier grief sera dès lors rejeté. 3.1.2. Au vu de ce qui précède, le grief de l'appelant en violation du principe de la bonne foi par l'AFC sera également rejeté, cette dernière n'ayant jamais fourni de garantie qu'aucune procédure pénale ne serait ouverte en cas de règlement a posteriori des montants soustraits de l'impôt anticipé, ni adopté en la circonstance un comportement contradictoire. 3.2.1. A______ allègue qu'il n'était pas l'ayant droit économique de D______ LTD et donc le bénéficiaire final des supposées prestations appréciables en argent opérées par C______ SA et soumises à l'impôt anticipé, si bien qu'aucune soustraction d'impôt anticipé au sens de l'art. 61 let. a LIA cum art. 6 DPA ne pouvait être retenue à son encontre. Ces allégations sont toutefois en parfaite contradiction avec les éléments de la procédure. Il ressort du dossier que D______ LTD était la société-mère de C______ SA, dont il était actionnaire unique. Elle était également détentrice de la marque créée par l'appelant. Elle figurait dans l'état des titres de ses déclarations fiscales 2009 à 2011. Dès 2012, soit dès la constitution de la société I______ SA au Luxembourg et le transfert de la titularité de la marque à cette dernière, D______ LTD n'est plus mentionnée dans ses déclarations fiscales comme lui appartenant. Les explications de A______ selon lesquelles la société figurait parmi la liste de ses actifs en raison d'une erreur de la part de ses conseillers fiscaux sont dénuées de toute crédibilité. L'appelant ne fournit d'ailleurs aucun élément objectif permettant d'accréditer sa thèse, comme par exemple des notes ou des échanges de correspondance à ce propos. Ses explications complémentaires selon lesquelles D______ LTD n'était qu'une société tierce à laquelle il avait cédé sa marque « F______ » et avec laquelle il était en affaires par le biais de sa société C______ SA ne sont pas plus crédibles. L'on peine en effet à comprendre, et l'appelant ne l'explique pas, alors qu'il lui aurait été aisé de le faire en cours de procédure, la justification économique d'une telle structure. L'on ne saisit en effet pas l'intérêt de céder sa marque à une société tierce et parallèlement constituer une société à Genève, C______ SA, pour développer et gérer ladite marque cédée. Bien au contraire, ce faisant, l'appelant aurait perdu une partie des bénéfices découlant des royalties de sa marque. Il ne fournit par ailleurs aucun élément quant aux conditions de cession de sa marque à la société « tierce » D______ LTD, notamment son prix, ni d'ailleurs celui auquel il aurait par la suite racheté la marque à travers sa société luxembourgeoise I______ SA. Il convient de souligner que A______ a lui-même indiqué en cours de procédure qu'il avait constitué la société I______ SA au Luxembourg en 2012 puisque « ce n'était plus possible avec la BVI (ndr : D______ LTD) », et qu'à ce moment-là il avait procédé à toutes les compensations de créances entre les différentes sociétés. En outre, le TP a relevé qu'à la date du 12 novembre 2019, D______ LTD avait son adresse auprès de l'Etude d'avocats de Me K______, sise à Genève, et l'appelant a admis que celle-ci était en charge, du moins temporairement, de la gestion de la société, étant précisé que Me K______, son ancien avocat, était également l'actuel directeur de C______ SA. Force est de constater que les diverses sociétés susmentionnées sont intimement liées et que l'appelant a toujours été, directement ou indirectement par l'intermédiaire de ses associés à Monaco depuis 2012, l'ayant droit économique de D______ LTD. Il convient également de retenir que, contrairement à ses allégations, il a toujours été le détenteur de sa marque « F______ » et que la cession de celle-ci entre ses différentes sociétés ne s'est pas effectuée conformément aux conditions du marché. Le système de rétrocessions de royalties entre D______ LTD et C______ SA, mis en place en 2002, n'était pas d'avantage justifié commercialement, cela d'autant plus qu'à teneur des pièces au dossier D______ LTD n'est devenue titulaire de la marque qu'en 2007. L'appelant ne peut pas se réfugier derrière le fait que formellement l'ayant droit économique de D______ LTD était son ancienne associée L______. Au contraire, il convient de retenir qu'il cherchait par ce procédé à dissimuler cette société. Il sera dès lors retenu, avec l'AFC, que la structure mise en place par A______ avait pour but de déplacer la titularité de sa marque aux BVI, juridiction à fiscalité douce voire inexistante, puis, lorsque selon ses propres explications cela n'a plus été possible, au Luxembourg, par le biais de sa nouvelle société I______ SA - l'activité opérationnelle, elle, ayant toujours été menée depuis C______ SA, à Genève. Cette structure lui permettait ainsi de bénéficier, alors qu'il était actionnaire de C______ SA, de dividendes dissimulés versés sous la forme de supposées rétrocessions de royalties à D______ LTD dont il était le bénéficiaire final, et d'ainsi éluder ces montants de l'impôt anticipé. L'appelant n'a en définitive fourni aucun élément objectif permettant de contredire les conclusions de l'AFC et d'expliquer l'éventuelle justification économique de la structure mise en place. Il les a au contraire reconnues en payant les montants requis par cette dernière. Il ressort en effet du dossier que l'analyse juridique et fiscale de l'AFC, que A______ conteste aujourd'hui, a été dûment soumise à l'appelant par courrier du 4 novembre 2015 et que c'est suite à ce courrier, en date du 3 décembre 2015, qu'il a payé, sans émettre la moindre réserve, les montants requis. Ce faisant, et en renonçant à faire valoir ses droits, a fortiori assisté d'un conseil juridique, il doit se laisser opposer qu'il a accepté les prétentions de l'AFC ainsi que les raisonnements juridique et fiscal qui les sous-tendaient. L'appelant a par ailleurs lui-même indiqué en cours de procédure qu'il avait dû réparer les erreurs commises par ses conseillers fiscaux qui avaient engendré la présente procédure, en payant les montants requis par l'AFC au titre de l'impôt anticipé. Même s'il argue que les erreurs ne peuvent lui être attribuées, il reconnaît donc que les montants en cause ont été, à tort, soustraits de l'impôt anticipé. Les explications de A______ au stade de l'appel selon lesquelles l'AFC était consciente du fait qu'il avait accepté de payer ses prétentions uniquement pour des raisons commerciales ne sauraient être suivies, celles-ci ne trouvant aucun ancrage dans la procédure et n'étant en rien crédibles au vu de ce qui précède. A l'instar du premier juge, qui n'est nullement tombé dans l'arbitraire dans son appréciation des faits, il doit ainsi être retenu que l'appelant était bien l'ayant droit économique de D______ LTD et qu'en payant les montants requis par l'AFC, il a reconnu que ceux-ci avaient été indûment soustraits de l'impôt anticipé. 3.2.2. A______ relève encore qu'il ne peut y avoir de soustraction intentionnelle d'impôt au sens de l'art. 61 let. a LIA cum art. 6 DPA sur des montants qui n'ont en réalité pas été versés à D______ LTD mais exclusivement comptabilisés. Les explications de l'appelant, ayant varié en cours de procédure, ne revêtent aucune crédibilité. Il a d'abord expliqué que ce n'était pas C______ SA qui devait verser des royalties à D______ LTD mais l'inverse. Il a ensuite admis que c'était bien la première citée qui devait des montants à la seconde mais que ceux-ci n'avaient pas été versés, par manque d'argent, mais uniquement comptabilisés. Or à suivre ses explications, l'on peine à comprendre, et ce dernier ne l'explique pas alors qu'il lui aurait été loisible de le faire, l'intérêt de comptabiliser le versement de montants si celui-ci n'a en réalité pas eu lieu - si ce n'est pour réduire le bénéfice imposable de la société débitrice, ce que l'appelant conteste. C'est d'autant moins crédible que D______ LTD, société supposément tierce, n'aurait jamais réclamé ses créances pourtant dues et exigibles, sur une période s'étendant de 2009 à 2011, à teneur du dossier. L'appelant argue encore vainement n'avoir personnellement encaissé aucun montant provenant des royalties comptabilisées dans les comptes de C______ SA. Or c'est précisément le fait d'avoir mis en place une structure lui permettant de ne pas comptabiliser des montants normalement dus à C______ SA dans le bilan de cette dernière, de les inscrire au bénéfice de D______ LTD, d'encaisser ensuite les montants litigieux de façon dissimulée de la part de D______ LTD et ainsi de permettre à C______ SA d'éluder l'impôt anticipé, qui lui est reproché par l'AFC. Il ressort en outre du dossier que l'appelant a bien perçu des montants de D______ LTD, pour lesquels il ne fournit d'ailleurs aucune explication, puisqu'il avait des créances à son égard pour les années fiscales en cause, et que celles-ci doivent être considérées comme ayant été réglées n'étant plus mentionnées dans ses déclarations fiscales dès 2012. En tout état, l'appelant a expliqué avoir procédé, en 2012, à la mise à niveau de toutes les créances entre D______ LTD et C______ SA, en compensant les montants dus à la première citée avec la cession de sa société en nom propre à Monaco. Dès lors, il convient de considérer que les montants dus à D______ LTD, dont il a en définitive bénéficié en tant qu'ayant droit économique, ont bien été comptabilisés dans les charges de C______ SA. Faute de plus amples explications pertinentes et objectives de la part de l'appelant sur ce qui précède, la CPAR ne saurait remettre en cause l'analyse de l'AFC, selon laquelle les montants versés, à tout le moins par compensation de créances, à D______ LTD revêtent la qualité de prestations appréciables en argent soumises à l'impôt anticipé, cela d'autant plus que, comme retenu plus haut, celle-ci a été dûment soumise à A______ et acceptée par ce dernier par le paiement des montants de l'impôt soustrait. 3.2.3. En ne déclarant pas les montants susmentionnés, qualifiés à juste titre de prestations appréciables en argent soumises à l'impôt anticipé, A______ a réalisé une soustraction d'impôt causant de la sorte une atteinte aux intérêts financiers de la collectivité équivalant aux montants soustraits pour les années fiscales 2010 et 2011 (les montants versés durant l'exercice fiscal 2009 étant atteints par la prescription). Il a ainsi, en sa qualité d'actionnaire et d'administrateur unique de C______ SA, réalisé les éléments objectifs de l'infraction de soustraction d'impôt anticipé au sens de l'art. 61 let. a LIA cum art. 6 al. 1 et 2 DPA. Il en va de même des frais de véhicule pour l'année 2013, ce que l'appelant ne conteste au demeurant pas, étant silencieux sur ce point dans ses écritures d'appel. 3.2.4. A______ allègue encore qu'aucune intention ne peut lui être reprochée puisqu'à l'époque de la mise en place de la structure litigieuse, il n'était pas administrateur de la société C______ SA. Il a été retenu que l'appelant, ayant toujours été, de ses propres aveux, le moteur du développement de la marque « F______ » et souhaitant transférer en Suisse ses activités, a constitué la structure litigieuse dont il était aux commandes dans le but de se distribuer des dividendes de façon dissimulée sans avoir à les comptabiliser dans le rendement de C______ SA. S'il n'était pas formellement administrateur de C______ SA lors de sa constitution en 2002 et ce jusqu'en 2009, c'était en raison de son domicile à l'étranger. Il en était en revanche déjà l'actionnaire unique. A______ ne peut donc pas sous-entendre, comme il le fait, avoir repris la tête d'une société dont il ne connaissait rien et ne s'être ainsi jamais aperçu des problématiques posées par la structure litigieuse. Même à supposer que, lors de la mise en place de la structure et la constitution de C______ SA en 2002, dont il n'était pas encore administrateur, les considérations liées à l'impôt anticipé lui avaient échappées, il aurait eu largement le temps de régulariser la situation par la suite lorsqu'il en a formellement endossé le rôle. Il ne peut pas se réfugier derrière le fait qu'il n'avait jamais décelé une éventuelle non-conformité de la structure mise en place avec les règles fiscales suisses dès lors qu'elle n'avait jamais donné lieu à aucune question ni investigation de la part de l'AFC durant 14 ans, étant précisé d'une part que de 2002 à 2009, l'appelant n'était pas assujetti de façon illimitée en Suisse et d'autre part que l'impôt anticipé repose sur une base d'auto-taxation. Il appartient ainsi au contribuable de déclarer - et non à l'AFC de découvrir - les dividendes ou prestations appréciables en argent versés par la société. A______ ne peut pas non plus arguer du fait qu'il méconnaissait les règles en la matière et qu'aucun de ses conseillers fiscaux successifs n'avaient attiré son attention sur ces aspects. En tant qu'administrateur de C______ SA durant les périodes fiscales en cause, il était en effet - de façon intransmissible et inaliénable - le responsable de la haute direction de la société et de la haute surveillance des personnes chargées de la gestion pour s'assurer qu'elles respectent l'ordre légal (art. 716a al. 1 ch. 1 al. 5 CO). Il lui appartenait à ce titre d'établir les instructions nécessaires (art. 716a al. 1 ch. 1 CO). Le fait de méconnaître les obligations légales en lien avec l'impôt anticipé comme il le prétend, ne le déliait pas de ses devoirs de haute direction et de surveillance, a fortiori en tant qu'administrateur unique. S'il ne disposait pas des connaissances nécessaires lui permettant de surveiller le travail de ses délégataires, il lui appartenait de se renseigner de façon proactive. Une telle ignorance démontrerait ainsi au contraire qu'il n'a pas rempli ses obligations du droit des sociétés, acceptant ainsi le risque de ne pas se conformer aux dispositions légales et fiscales suisses. C'est sans compter qu'au vu de la structure mise en place, l'attention de l'administrateur qu'il était ne pouvait qu'être concrètement éveillée concernant la question fiscale. 3.2.5. Au vu de ce qui précède, il sera retenu que l'appelant a, avec conscience et volonté, du moins sous la forme du dol éventuel, réalisé les conditions de l'art. 61 let. a LIA cum</w:t>
      </w:r>
    </w:p>
    <w:p>
      <w:r>
        <w:rPr>
          <w:b/>
        </w:rPr>
        <w:t>E. 4</w:t>
      </w:r>
    </w:p>
    <w:p>
      <w:r>
        <w:t>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 arrêt du Tribunal fédéral 6B_35/2017 du 26 février 2018 consid. 3.2). 2.5.1. Selon l'art. 4 al. 1 let. b LIA, l'impôt anticipé sur les revenus de capitaux mobiliers a notamment pour objet les intérêts, rentes, participations aux bénéfices et tous autres rendements des actions. L'art. 20 al. 1 de l'ordonnance du 19 décembre 1966 sur l'impôt anticipé (ci-après: OIA) prévoit qu'est un rendement imposable d'actions, parts de sociétés à responsabilité limitée et sociétés coopératives,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actions gratuites, bons de participation gratuits, excédents de liquidation etc.). Selon la jurisprudence constante, encore rappelée dans un arrêt du Tribunal fédéral du 13 décembre 2018 ( 2C_382/2018 ),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 4.1 ; 140 II 88 consid. 4.1 ; 138 II 57 consid. 2.2 ; arrêts 2C_263/2014 du 21 janvier 2015 consid. 5.2 et 2C_499/2011 du 9 juillet 2012 consid. 4.2). 2.5.2. Aux termes de l'art. 10 al. 1 LIA, l'obligation fiscale incombe au débiteur de la prestation imposable. Par ailleurs, l'art. 38 al. 2 LIA dispose que le contribuable doit, à l'échéance de l'impôt (art. 16), remettre à l'AFC, sans attendre d'y être invité, le relevé prescrit accompagné des pièces justificatives, et en même temps payer l'impôt ou faire la déclaration remplaçant le paiement (art. 19 et 20). 2.5.3. L'art. 61 let. a LIA dispose que celui qui, intentionnellement ou par négligence, à son propre avantage ou à celui d'un tiers, soustrait des montants d'impôt anticipé à la Confédération, encourt, pour soustraction d'impôt, une amende jusqu'à concurrence de 30 000 francs ou, s'il en résulte un montant supérieur, jusqu'au triple de l'impôt soustrait, à moins que l'art. 14 de la loi fédérale du 22 mars 1974 sur le droit pénal administratif ne soit applicable. L'infraction de soustraction comprend, en plus de la faute (intention ou négligence), trois éléments constitutifs objectifs: une atteinte portée aux intérêts financiers de la collectivité, un certain comportement du contribuable ou du bénéficiaire de la prestation soumise à impôt anticipé ou d'un tiers ainsi qu'un lien de causalité entre le comportement de l'auteur et le résultat dommageable pour la collectivité (HENRI TORRIONE, Les infractions fiscales en matière d'impôts directs et dans le domaine de l'impôt anticipé, des droits de timbre et de la TVA in Les procédures en droit fiscal , 3e éd., Berne 2015, p. 992). Les conditions de la soustraction sont remplies aussi dans le cas où une société anonyme fait une prestation appréciable en argent - aisément reconnaissable comme telle pour les participants - sans toutefois déclarer ou payer spontanément l'impôt anticipé. Cela vaut aussi pour les distributions dissimulées de bénéfices, comme par exemple le fait pour une SA d'assumer des frais d'entretien d'un actionnaire ou de sa famille ou le fait de ne pas refacturer des dépenses privées ou de les facturer à un montant insuffisant (HENRI TORRIONE, Les infractions fiscales en matière d'impôts directs et dans le domaine de l'impôt anticipé, des droits de timbre et de la TVA in Les procédures en droit fiscal , 3e éd., Berne 2015, p. 995 et 996). L'avantage peut aussi consister en ce que des versements qu'obtient la société ne sont pas comptabilisés par celle-ci comme rendement, mais distribués directement aux actionnaires ou à des personnes la ou les touchant de près (ATF 119 Ib 116 consid. 2 et les références cités ; arrêt du Tribunal administratif fédéral A-5433/2015 du 2 mars 2017 consid. 3.3.2). Les sociétés appartenant à un même groupe doivent, sauf disposition contraire, être traitées fiscalement comme des entités juridiques indépendantes. Les opérations qu'elles réalisent entre elles doivent ainsi intervenir comme si elles étaient effectuées avec des tiers dans un environnement de libre concurrence et obéir aux conditions du marché (principe du « dealing at arm's length »). Cela vaut tant pour le choix des formes juridiques que pour la fixation des montants (cf. ATF 131 I 722 consid. 4.1 et 119 Ib 116 consid. 2; arrêt du Tribunal fédéral 2C_895/2008 du 9 juin 2009 consid. 4.2; arrêt du Tribunal administratif fédéral A-579/2009 du 29 août 2011 consid. 3.2). A défaut, l'AFC est fondée à considérer qu'il s'agit de mises à disposition d'actifs de la société en faveur de son actionnaire, sans contre-prestation correspondante, à savoir de prestations appréciables en argent soumises à l'impôt anticipé (cf. arrêt du Tribunal administratif fédéral A-5433/2015 précité consid. 3.3.3). 2.5.4. Aux termes de l'art. 2 de la loi fédérale sur le droit pénal administratif du 22 mars 1974 (DPA ; RS 313.0), les dispositions générales du code pénal suisse sont applicables aux actes réprimés par la législation administrative fédérale, à moins que la présente loi ou une loi administrative spéciale n'en dispose autrement. 2.5.5.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2.5.6. Aux termes de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L'alinéa 2 de l'art. 6 DPA prévoit en outre que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2.5.7. L'art. 716a de la loi fédérale du 30 mars 2011 complétant le Code civil suisse (CO, Code des obligations ; RS 220) dispose que le conseil d'administration a les attributions intransmissibles et inaliénables suivantes: 1. exercer la haute direction de la société et établir les instructions nécessaires; 2. fixer l'organisation; 3. fixer les principes de la comptabilité et du contrôle financier ainsi que le plan financier pour autant que celui-ci soit nécessaire à la gestion de la société; 4. nommer et révoquer les personnes chargées de la gestion et de la représentation; 5. exercer la haute surveillance sur les personnes chargées de la gestion pour s'assurer notamment qu'elles observent la loi, les statuts, les règlements et les instructions données; 6. établir le rapport de gestion; préparer l'assemblée générale et exécuter ses décisions; 7. informer le juge en cas de surendettement. Par ailleurs, les membres du conseil d'administration, de même que les tiers qui s'occupent de la gestion, exercent leurs attributions avec toute la diligence nécessaire et veillent fidèlement aux intérêts de la société (art. 717 al. 1 CO).</w:t>
      </w:r>
    </w:p>
    <w:p>
      <w:r>
        <w:rPr>
          <w:b/>
        </w:rPr>
        <w:t>E. 4.2</w:t>
      </w:r>
    </w:p>
    <w:p>
      <w:r>
        <w:t>. En l'espèce, la faute commise par l'appelant n'est pas négligeable, considérant qu'il a soustrait un impôt dont la perception repose sur une base de confiance avec le contribuable, causant un dommage à la collectivité, et réalisant de la sorte objectivement l'infraction la plus grave prévue dans la LIA. Il a agi à de réitérées reprises sur une relativement longue période alors qu'il aurait pu en tout temps y mettre un terme. Le montant soustrait à l'AFC est conséquent, mais il a en définitive été réparé. Rien dans la situation personnelle de l'appelant n'explique ses agissements. La prise de conscience et la collaboration du prévenu à la présente procédure sont ténues dans la mesure où il a nié l'évidence - ses allégations étant en contradiction manifeste avec les éléments recueillis dans la procédure. Il a également tenté de rejeter la responsabilité sur son entourage professionnel. Il jouit financièrement d'une position favorable, étant toutefois observé que ses revenus actuels allégués apparaissent relativement modestes eu égard à sa qualité d'entrepreneur dont l'activité est diversifiée. Le temps écoulé doit être mesuré à la date du prononcé pénal de l'AFC du 22 mai 2018. Ainsi, le prévenu pourrait bénéficier de cette circonstance atténuante s'agissant des soustractions reprochées pour les exercices 2010 et 2011. Il ne peut toutefois être retenu que le prévenu se soit bien comporté durant tout l'intervalle au sens de l'art. 48 let. e CP dans la mesure où il a poursuivi son activité jusqu'en 2014. Aussi, une réduction de peine ne s'impose pas. Concernant l'exercice 2013, les soustractions poursuivies sont considérées comme ayant été commises au 30 juillet 2014, soit moins de cinq ans (deux tiers du délai de prescription de sept ans) avant le prononcé pénal du 22 mai 2018, si bien que l'application de la circonstance atténuante du temps écoulé est exclue. Par ailleurs, la gravité objective des faits ne justifie d'aucune manière de prendre en considération un délai plus court que les deux tiers du délai de prescription. Il ressort du dossier que tant l'AFC que le TP ont néanmoins pris en compte l'écoulement du temps dans la fixation du montant de l'amende. Aussi, tout bien pesé, l'amende de CHF 15'000.- fixée par le premier juge ne paraît pas critiquable. Elle sera confirmée, de même que la peine privative de liberté de substitution de 150 jours. 5. L'appelant, qui succombe, supportera les frais de la procédure envers l'État en CHF 2'000.- (art. 428 CPP et 14 al. 1 let. e du règlement fixant le tarif des frais en matière pénale du 22 décembre 2010 [RTFMP - E 4 10.03]). Par identité de motifs, il ne lui sera pas alloué d'indemnité (art. 429 CPP).</w:t>
      </w:r>
    </w:p>
    <w:p>
      <w:r>
        <w:rPr>
          <w:b/>
        </w:rPr>
        <w:t>E. 6</w:t>
      </w:r>
    </w:p>
    <w:p>
      <w:r>
        <w:t>al. 1 et 2 DPA. Le verdict de culpabilité de ce chef sera confirmé et l'appel rejeté. 3.3. A______ invoque enfin une erreur sur l'illicéité, alléguant avoir été contraint, au vu de son manque de connaissance en la matière, de se fier aux réponses positives de ses mandataires s'agissant de l'impôt anticipé. Il n'aurait ainsi pas eu conscience d'avoir adopté un comportement illicite. La configuration prévue à l'art. 21 CP ne trouve pas à s'appliquer dans le cas présent, dans la mesure où aucun élément du dossier ne permet de retenir que l'appelant croyait par erreur, bien qu'ayant réalisé les éléments de l'infraction de soustraction d'impôt avec conscience et volonté, agir de façon licite. L'appelant n'allègue pas que tel aurait été le cas, notamment que l'AFC aurait toléré qu'il élude des montants de l'impôt anticipé si bien qu'il se croyait en droit d'agir ainsi. Au contraire, il conteste avoir réalisé les éléments de l'infraction de soustraction d'impôt anticipé. Partant, il ne saurait être mis au bénéfice d'une erreur sur l'illicéité et même si tel avait été le cas, elle n'en aurait pas moins été inexcusable, si bien qu'il n'aurait pas pu s'en prévaloir à bon escient. Ce grief sera rejeté. 4. 4.1.1. L'art. 61 LIA prévoit le prononcé d'une amende jusqu'à concurrence de CHF 30'000.- ou, s'il en résulte un montant supérieur, jusqu'au triple de l'impôt soustrait, à moins que l'art. 14 DPA (escroquerie) ne soit applicable. 4.1.2. Aux termes de l'art. 2 DPA, les dispositions générales du code pénal suisse sont applicables aux actes réprimés par la législation administrative fédérale, à moins que la présente loi ou une loi administrative spéciale n'en dispose autrement. 4.1.3. Les nouvelles dispositions sur le droit des sanctions sont entrées en vigueur le 1 er janvier 2018. En l'espèce, l'application de l'ancien ou du nouveau droit ne conduit pas à une solution différente, de sorte que le nouveau droit ne s'applique pas au titre de " lex mitior " . 4.1.4. L'art. 106 aCP prévoit que,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 4.1.5 .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4.1.6.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Les délais de prescription spéciaux, plus courts que les délais ordinaires, tel celui prévu par l'art. 109 CP pour les contraventions ou par l'art. 178 al. 1 CP pour les délits contre l'honneur, ne sont pas pris en considération (ATF 132 IV 1 consid. 6.1.1). 4.1.7. Selon l'art. 97 al. 3 CP, la prescription ne court plus si, avant son échéance, un jugement de première instance a été rendu. Selon la jurisprudence, il faut entendre par jugement de première instance, au-delà duquel la prescription ne court plus, un jugement de condamnation ou d'acquittement (ATF 139 IV 62 consid. 1.5). Dans le cas d'affaires pénales qui sont d'abord traitées en procédure administrative en vertu de la loi fédérale sur le droit pénal administratif, le prononcé pénal de l'administration (art. 70 DPA) qui succède au mandat de répression (art. 64 DPA) constitue la décision déterminante qui met fin à la prescription (ATF 139 IV 62 consid. 1.2 p. 65 ; ATF 142 IV 276 consid. 5.2). La prescription de l'action pénale cesse de courir au moment où le jugement de première instance a été rendu, et non pas au moment où il a été notifié (ATF 130 IV 101 consid. 2.3). 4.1.8. En cas de soustraction, de mise en péril de contributions ou d'obtention illicite d'un remboursement, d'une réduction ou d'une remise de contributions, le délai de prescription, initialement de cinq ans (art. 11 al. 2 DPA) et augmenté à dix ans par l'art. 333 al. 6 let. a CP, a été limité à sept ans par la jurisprudence (cf. ATF 134 IV 328 consid. 2.1, JdT 2010 IV p. 164ss consid. 2.1). Le dies a quo du délai de prescription de l'action pénale est le jour où l'auteur a exercé son activité coupable conformément à l'art. 98 let. a CP. En matière de soustraction d'impôts, le dépôt des comptes annuels inexacts à l'AFC constitue le départ de la prescription (arrêt du Tribunal administratif fédéral A-5433/2015 du 2 mars 2017 consid. 4.3.3). In casu , l'AFC a retenu à juste titre, et l'appelant ne le remet pas en cause, qu'il convenait de retenir, en l'absence de dépôt de comptes à l'AFC, que le dies a quo de la prescription de l'action pénale relatif aux soustractions poursuivies était fixé 30 jours après le terme du délai de six mois de l'art. 699 al. 2 CO pour l'approbation des comptes annuels. Le dies a quo pour les soustractions poursuivies pour l'exercice 2009 ont ainsi été fixées au 30 juillet 2010 (qui sont dès lors prescrites), celles concernant l'exercice 2010 au 30 juillet 2011, celles concernant l'exercice 2011 au 30 juillet 2012 et celles concernant l'exercice 2013 au 30 juillet 2014. 4.1.9. Selon l'art. 9 DPA, les dispositions du CP (art 49 CP) sur le concours d'infractions ou de lois pénales ne sont pas applicables aux amendes ou aux peines prononcées en conversion d'amendes. 4.1.10. Lorsque seules des contraventions ont fait l'objet de la procédure de première instance, la cognition de la juridiction d'appel s'agissant du contrôle de la fixation de la peine correspond à celle du Tribunal fédéral. Tant que la peine prononcée par le premier juge apparaît comme défendable, aucune correction de la quotité de la peine ne sera effectuée (A. DONATSCH / T. HANSJAKOB / V. LIEBER, Kommentar zur Schweizerischen Strafprozessordnung (StPO) , 2 e éd., Zurich/Bâle/Genève 2014, n. 23 ad art. 398).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