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P/9002/2014 vom 14. April 2016</w:t>
      </w:r>
    </w:p>
    <w:p>
      <w:r>
        <w:t>GE Cour de justice, 2016-04-14, FR</w:t>
      </w:r>
    </w:p>
    <w:p>
      <w:r>
        <w:rPr>
          <w:b/>
        </w:rPr>
        <w:t xml:space="preserve">Quelle: </w:t>
      </w:r>
      <w:r>
        <w:t>https://mcp.opencaselaw.ch/entscheid/ge_gerichte_P_9002_2014</w:t>
      </w:r>
    </w:p>
    <w:p>
      <w:r>
        <w:t>FR: GE_GERICHTE P/9002/2014 du 14 avril 2016</w:t>
      </w:r>
    </w:p>
    <w:p>
      <w:r>
        <w:t>IT: GE_GERICHTE P/9002/2014 del 14 aprile 2016</w:t>
      </w:r>
    </w:p>
    <w:p>
      <w:pPr>
        <w:pStyle w:val="Heading2"/>
      </w:pPr>
      <w:r>
        <w:t>Regeste</w:t>
      </w:r>
    </w:p>
    <w:p>
      <w:r>
        <w:t>DISPOSITIONS PÉNALES DE LA LCR ; EXCÈS DE VITESSE; DÉLIT DE CHAUFFARD; SURSIS À L'EXÉCUTION DE LA PEINE; DÉFENSE D'OFFICE; INDEMNITÉ(EN GÉNÉRAL) | CP42.1 CP43 CP44.1 CPP139 CPP428 LCR90.3.4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du 22 mai 2015 consid. 7.1). 2.1.4.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p. 99 ss).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2.1.5.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122-123). La durée doit être déterminée de manière à offrir la plus grande probabilité que le condamné ne récidivera pas (arrêt du Tribunal fédéral 6B_187/2015 du 28 avril 2015 consid. 5.5 ; R. SCHNEIDER / R. GARRÉ, Basler Kommentar Strafrecht I , 3 e éd., Bâle 2013, n. 4 ad art. 44).</w:t>
      </w:r>
    </w:p>
    <w:p>
      <w:r>
        <w:rPr>
          <w:b/>
        </w:rPr>
        <w:t>E. 2</w:t>
      </w:r>
    </w:p>
    <w:p>
      <w:r>
        <w:t>2.1.1. Les peines, notamment privatives de liberté, de six mois à deux ans peuvent être assorties du sursis total (art. 42 al. 1 CP).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p. 198-199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2.1.2.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ATF 98 IV 159 consid. 2 p. 161) ou les infractions à la loi fédérale sur les stupéfiants (ATF 101 IV 122 consid. 2 p. 123).</w:t>
      </w:r>
    </w:p>
    <w:p>
      <w:r>
        <w:rPr>
          <w:b/>
        </w:rPr>
        <w:t>E. 2.2</w:t>
      </w:r>
    </w:p>
    <w:p>
      <w:r>
        <w:t>In casu , le pronostic d'avenir doit être évalué à la lumière des circonstances de l'infraction, des antécédents de l'appelant, de l'introspection dont il a fait preuve et de sa situation personnelle. On précisera qu'il convient en effet de déterminer le pronostic d'avenir au sens de l'art. 42 al. 1 CP dans la mesure où les conditions prévues à l'art. 42 al. 2 CP ne s'appliquent pas en l'espèce, vu la quotité de la peine qui a été infligée précédemment, de sorte que la notion de circonstances particulièrement favorables ne trouve pas application. L'excès de vitesse imputable à l'appelant est certes important. La mise en danger de la sécurité et de l'intégrité des autres usagers de la route nécessite néanmoins d'être relativisée eu égards aux circonstances du cas d'espèce. Ledit dépassement de la limitation autorisée a, en effet, été commis sur une route de campagne large et rectiligne, à une heure où la circulation n'est pas importante et en présence de bonnes conditions météorologiques. Seul un antécédent figure au casier judiciaire de l'appelant. Même s'il est spécifique, il ne saurait, à lui seul, signifier que celui-ci présente un risque de récidive. La prise de conscience de l'appelant n'en est plus au stade de l'ébauche. Dès le début de l'instruction, il a fait preuve de collaboration en reconnaissant les faits qui lui étaient reprochés, sans les minimiser. Nul doute qu'il ait mesuré la gravité de ses actes et des conséquences qu'ils auraient pu avoir pour autrui. Tourné vers l'avenir, il dit vouloir assumer ses responsabilités, notamment celles inhérentes à son rôle de père de deux enfants. Il a d'ailleurs trouvé un nouveau travail à cette fin. Il sied de relever que la sanction administrative du retrait de permis prononcée parallèlement à la sanction pénale a été lourde de conséquences, l'appelant ayant perdu son précédent emploi pour ce motif. Cette sanction, qui est en passe d'être révoquée, constitue assurément un élément anxiogène propre à refreiner l'envie de vitesse qu'il pourrait éprouver dans le futur, en sus de la menace d'une peine privative de liberté de 18 mois à subir en cas de récidive. Compte tenu des éléments qui précèdent, le pronostic n'est ni défavorable ni incertain, de sorte que l'appelant sera mis au bénéfice du sursis complet. A l'instar du CURML, et bien qu'il n'ait, à teneur de l'extrait de son casier judiciaire, jamais été condamné pour ce motif, la CPAR tient néanmoins à mettre l'appelant en garde sur les risques que présente la conduite sous l'emprise de l'alcool, au vu de sa propension à en consommer. La durée du délai d'épreuve fixée à quatre ans par le premier juge, non-contestée par l'appelant, sera confirmée, étant de nature à le dissuader d'une récidive dans les années à venir. Le jugement entrepris sera réformé en conséquence.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Dans la mesure où les débats d'appel étaient circonscrits à l'octroi du sursis et que l'appelant a obtenu pleinement gain de cause, il n'y a lieu de revenir sur les frais de première instance qu'en ce qui concerne l'émolument de jugement complémentaire, lequel sera mis à la charge de l'Etat de Genève. L'appel ayant été admis, il ne sera pas perçu de frais (art. 428 CPP a contrario ) .</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5.2.3.2. Ainsi, la déclaration d'appel est incluse dans le forfait (ordonnance de la Cour des plaintes du Tribunal pénal fédéral BB.2014.51 du 21 novembre 2014 consid. 2.1 ; décisions de la Cour des plaintes du Tribunal pénal fédéral BB.2013.165 du 24 janvier 2014 consid. 4.1.3 et BB.2013.127 du 4 décembre 2013 consid. 4.2), tout comme de brèves observations ou déterminations ( AARP/326/2015 du 16 juillet 2015). 5.2.3.3.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AARP/498/2015 du 4 novembre 2015 ; AARP/331/2015 du 27 juillet 2015), contrairement au cas où un examen plus poussé s'imposait, notamment aux fins de déterminer l'opportunité d'un recours au plan cantonal.</w:t>
      </w:r>
    </w:p>
    <w:p>
      <w:r>
        <w:rPr>
          <w:b/>
        </w:rPr>
        <w:t>E. 5.3</w:t>
      </w:r>
    </w:p>
    <w:p>
      <w:r>
        <w:t>En l'occurrence, il sera imputé 4h15' de l'état de frais produit par le défenseur d'office. Seul un entretien sur les deux effectués avec le client s'avérait nécessaire et suffisant pour examiner l'opportunité d'un appel. Quant à celui du 28 mars 2016, la remise de documents par le client n'aurait dû exiger que 15 minutes. La rédaction de la déclaration d'appel et d'une prise de position à destination de la CPAR sont des tâches incluses dans la majoration forfaitaire pour l'activité diverse, dans la mesure où elles ne nécessitent pas d'investissement particulier en termes de travail juridique. Vu la teneur de la réplique – et du dossier qui n'avait été agrémenté que de la réponse du MP –, le temps de travail affecté à sa rédaction n'aurait pas dû excéder 30 minutes, le reliquat devant être retranché. En conclusion, l'indemnité sera arrêtée à CHF 1'231.20, correspondant à 4h45' d'activité au tarif horaire de CHF 200.- plus la majoration forfaitaire de 20% (CHF 190.-) et l'équivalent de la TVA au taux de 8% (CHF 91.20).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