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P/89/2019 vom 3. März 2020</w:t>
      </w:r>
    </w:p>
    <w:p>
      <w:r>
        <w:t>GE Cour de justice, 2020-03-03, FR</w:t>
      </w:r>
    </w:p>
    <w:p>
      <w:r>
        <w:rPr>
          <w:b/>
        </w:rPr>
        <w:t xml:space="preserve">Quelle: </w:t>
      </w:r>
      <w:r>
        <w:t>https://mcp.opencaselaw.ch/entscheid/ge_gerichte_P_89_2019</w:t>
      </w:r>
    </w:p>
    <w:p>
      <w:r>
        <w:t>FR: GE_GERICHTE P/89/2019 du 3 mars 2020</w:t>
      </w:r>
    </w:p>
    <w:p>
      <w:r>
        <w:t>IT: GE_GERICHTE P/89/2019 del 3 marzo 2020</w:t>
      </w:r>
    </w:p>
    <w:p>
      <w:pPr>
        <w:pStyle w:val="Heading2"/>
      </w:pPr>
      <w:r>
        <w:t>Regeste</w:t>
      </w:r>
    </w:p>
    <w:p>
      <w:r>
        <w:t>PEINE COMPLÉMENTAIRE;EXPULSION(DROIT PÉNAL) | LEI.115.al1.letB; CP.66.alABIS</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Aux termes de l'art. 115 al. 1 let. b LEI, est puni d'une peine privative de liberté d'un an au plus ou d'une peine pécuniaire quiconque séjourne illégalement en Suisse, notamment après l'expiration de la durée du séjour non soumis à autorisation ou du séjour autorisé. 2.1.2. Le séjour illégal est un délit de durée, un délit continu. L'infraction est achevée au moment où le séjour prend fin.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arrêt du Tribunal fédéral 6B_1003/2019 du 16 octobre 2019 destiné à publication consid. 1.1).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destiné à publication consid. 1.1).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w:t>
      </w:r>
    </w:p>
    <w:p>
      <w:r>
        <w:rPr>
          <w:b/>
        </w:rPr>
        <w:t>E. 3</w:t>
      </w:r>
    </w:p>
    <w:p>
      <w:r>
        <w:t>2. En l'espèce, si la nature et la gravité de l'infraction commise dans le cadre de la présente procédure par l'appelant est de gravité moindre, ses antécédents sont multiples. En effet, en plus du fait qu'il séjourne en Suisse sans titre valable depuis moins de quatre ans, l'appelant a été condamné à plusieurs reprises, notamment pour délits à la LStup (art. 19 al. 1 LStup) et infractions à la LEI (art. 115 al. 1 let. b et 119 al. 1 LEI), mais aussi pour opposition aux actes de l'autorité, violation de domicile, violation des règles de la circulation routière, contravention à la LStup, non-respect d'une assignation à résidence ou interdiction de pénétrer dans une région déterminée. Son comportement témoigne de sa persistance à enfreindre les lois et décisions prises à son encontre. L'appelant a en particulier été condamné à une peine privative de liberté d'ensemble de six mois le 3 septembre 2018, ce qui ne l'a pas empêché de persister dans ses agissements délictueux l'amenant à deux nouvelles condamnations le 12 mars 2019 ainsi que dans la présente procédure, deux nouvelles procédures à son encontre pour des infractions similaires étant en outre actuellement pendantes devant le MP. Il a au surplus récidivé à plusieurs reprises durant ses délais d'épreuve alors qu'il avait été mis au bénéfice de deux sursis, et à nouveau alors qu'il avait bénéficié d'une libération conditionnelle le 14 janvier 2018. La seule interdiction de séjour prononcée à son encontre n'est visiblement pas suffisante, puisqu'elle ne l'a pas dissuadé de revenir ou de séjourner en Suisse. Les sanctions prononcées contre l'intéressé ne parviennent ainsi manifestement pas à l'empêcher de commettre de nouvelles infractions. Il est, dans ces conditions, à craindre sérieusement qu'il menace à nouveau l'ordre et la sécurité publics, ce qui implique que la Suisse dispose d'un intérêt évident à l'expulser. De son côté, l'appelant n'a pas particulièrement d'intérêt à demeurer sur notre territoire. Sa durée de séjour en Suisse, entrecoupée par plusieurs renvois, est courte, puisqu'il indique être arrivé en juin 2016, séjour qui n'a d'ailleurs jamais été autorisé et qui résulte ainsi d'un comportement illicite, et non d'une tolérance particulière des autorités. Celui-ci ne s'est par ailleurs jamais intégré en Suisse et, du fait de son statut administratif, n'a jamais eu d'activité professionnelle déclarée. Il est sans domicile, et aucun membre de sa famille ne réside en Suisse. Il n'allègue par ailleurs pas d'attache particulière avec Genève, hormis une prétendue amie qui aurait été enceinte au moment du jugement de première instance - ce qui n'a nullement été établi -, ce qu'il ne soutient toutefois plus dans le cadre de son appel. Quand bien même cette relation serait effective, l'appelant serait libre de la poursuivre et d'élever son enfant dans un autre pays. Il ne ressort par ailleurs pas du dossier - ce que l'appelant n'allègue pas non plus -, qu'il aurait des difficultés majeures à se réinsérer dans son pays d'origine, dans lequel il a vécu la majeure partie de sa vie. Ainsi, au regard de ce qui précède, et compte tenu de l'absence totale d'intérêt prépondérant pour l'appelant à séjourner en Suisse, force est de constater que son intérêt privé ne l'emporte pas sur l'intérêt public à l'expulser. Une expulsion d'une durée de trois ans, soit la durée minimale prévue par la loi, apparaît adéquate et sera prononcée, l'appel étant également rejeté sur ce point.</w:t>
      </w:r>
    </w:p>
    <w:p>
      <w:r>
        <w:rPr>
          <w:b/>
        </w:rPr>
        <w:t>E. 3.1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ainsi que 36 al. 2 et 3 de la Constitution fédérale de la Confédération suisse du 18 avril 1999 (Cst. - RS 101). Il convient ainsi d'examiner si l'intérêt public à l'expulsion l'emporte sur l'intérêt privé de la personne à demeurer en Suisse. Une telle pesée des intérêts répond également aux exigences découlant de l'art. 8 par. 2 de la Convention de sauvegarde des droits de l'homme et des libertés fondamentales du 4 novembre 1950 (CEDH - RS 0.101)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Concernant l'intérêt public, le juge doit se demander, si l'expulsion facultative est de nature à empêcher la commission de nouvelles infractions en Suisse (G. FIOLKA / L. VETTERLI, op. cit., p. 84 ; AARP/179/2017 du 30 mai 2017 consid. 3.1.2). A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w:t>
      </w:r>
    </w:p>
    <w:p>
      <w:r>
        <w:rPr>
          <w:b/>
        </w:rPr>
        <w:t>E. 4</w:t>
      </w:r>
    </w:p>
    <w:p>
      <w:r>
        <w:t>L'appelant, qui succombe, supportera les frais de la procédure envers l'Etat comprenant un émolument de CHF 1'500.- (art. 428 CPP et 14 al. 1 let. e du règlement fixant le tarif des frais en matière pénale du 22 décembre 2010 [RTFMP - E 4 10.03]).</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Considéré globalement, l'état de frais produit par le conseil de l'appelant paraît adéquat et sera donc accepté. L'indemnité due à M e B______ sera ainsi arrêtée à CHF 516.95 correspondant à deux heures d'activité au tarif de CHF 200.-/heure (soit CHF 400.-) plus la majoration forfaitaire de 20% (soit CHF 80.-), ainsi que la TVA à CHF 36.95.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