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P/8994/2018 vom 12. Oktober 2021</w:t>
      </w:r>
    </w:p>
    <w:p>
      <w:r>
        <w:t>GE Cour de justice, 2021-10-12, FR</w:t>
      </w:r>
    </w:p>
    <w:p>
      <w:r>
        <w:rPr>
          <w:b/>
        </w:rPr>
        <w:t xml:space="preserve">Quelle: </w:t>
      </w:r>
      <w:r>
        <w:t>https://mcp.opencaselaw.ch/entscheid/ge_gerichte_P_8994_2018</w:t>
      </w:r>
    </w:p>
    <w:p>
      <w:r>
        <w:t>FR: GE_GERICHTE P/8994/2018 du 12 octobre 2021</w:t>
      </w:r>
    </w:p>
    <w:p>
      <w:r>
        <w:t>IT: GE_GERICHTE P/8994/2018 del 12 ottobre 2021</w:t>
      </w:r>
    </w:p>
    <w:p>
      <w:pPr>
        <w:pStyle w:val="Heading2"/>
      </w:pPr>
      <w:r>
        <w:t>Regeste</w:t>
      </w:r>
    </w:p>
    <w:p>
      <w:r>
        <w:t>VIOLATION D'UNE OBLIGATION D'ENTRETIEN;FIXATION DE LA PEINE;PEINE PÉCUNIAIRE;SURSIS À L'EXÉCUTION DE LA PEINE;AMENDE;PARTIE CIVILE;DÉCISION DE RENVOI | CP.217.al1; CP.47; CP.34; CP.42; CP.106; CPP.126.al2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 Une constatation judiciaire préalable n'est cependant pas nécessaire dans la mesure où l'obligation d'entretien découle directement de la loi (ATF 128 IV 86 consid. 2b p. 90). Cela étant,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d'entretien(ATF 114 IV 124 consid. 3b p. 124 s. ; arrêt du Tribunal fédéral 6B_1017/2016 du 10 juillet 2017 consid. 2.4). Sur le plan subjectif, l'infraction réprimée par l'art. 217 CP doit être commise intentionnellement.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2.2</w:t>
      </w:r>
    </w:p>
    <w:p>
      <w:r>
        <w:t>En l'espèce, par arrêt du 8 mars 2016, dans le cadre d'une requête en complément du jugement de divorce, le Tribunal de première instance a condamné l'appelant, dès décembre 2013, à verser en mains de son ex-épouse, par mois et d'avance, le montant de CHF 1'200.-, à titre de contribution pour leur enfant. La Cour de céans est liée par la quotité de la contribution d'entretien mensuelle retenue par le juge civil. En tout état, même en l'absence d'une telle décision judiciaire, l'obligation d'entretien de l'appelant repose sur l'art. 276 du Code civil (CC). Or, il n’a versé aucun montant à ce titre pendant la période pénale. Complètement diplômé dans le domaine ______, disposant notamment d'un MBA obtenu à [une Haute école de] F______, il a choisi de se réorienter, ce qui a selon ses dires entraîné une absence de revenu pendant la période pénale. Il prétend ainsi ne pas avoir eu les moyens de s'acquitter de la pension due, ni pu les avoir, sans faute de sa part. Force est toutefois de constater que ses explications ne peuvent être suivies. En effet, il ressort des pièces produites qu'il n’a, contrairement à ce qu’il allègue, pas entrepris les efforts que l'on était en droit d'exiger de lui pour trouver un emploi. L’appelant a estimé qu’en raison de son statut d’étudiant ainsi que du programme de cours " assez intensif ", il ne pouvait dans tous les cas pas exercer une activité lucrative à plus de 60%. Cela étant, durant la période pénale s'étendant sur onze mois, il n'a pas travaillé, ne saurait-ce qu’à temps partiel, afin de s’acquitter au moins d’une partie de la contribution d’entretien due. Il admet d'ailleurs avoir renoncé à postuler dans le secteur privé malgré ses diplômes universitaires, son expérience professionnelle dans le domaine de [D______ SA] ainsi que sa formation en ______. Or, si son absence de compétence en dehors de [D______ SA], sa nationalité étrangère et les restrictions imposées par la législation française constituaient des motifs rendant plus ou moins difficile l'obtention d'un emploi, la reprise d’une activité lucrative dès septembre 2019, en qualité d’enseignant vacataire, démontre que l’appelant pouvait, s’il le voulait, exercer une activité lucrative. Il n'établit au demeurant pas comment il a couvert ses charges mensuelles pendant la période pénale où il affirme avoir été sans revenus. Il a, en réalité, fait le choix de reprendre des études et de consacrer son temps à son cursus universitaire au détriment de son obligation de père. Ce choix a été délibéré, l'appelant affirmant a réitérées reprises qu'il n'entendait en tout état pas verser de contribution d'entretien à sa première épouse. Il a au surplus délibérément choisi de favoriser sa seconde épouse et leur enfant au préjudice de son aînée. On peut au demeurant s'interroger sur les moyens dont il disposait réellement, le salaire qu'il dit avoir gagné au Kazakhstan ne lui permettant manifestement pas de subvenir à ses besoins en France pendant plusieurs années sans revenu. L'appelant ayant pu vivre à G______ sans travailler, il devait disposer d'économies qu'il aurait pu et dû affecter à l'entretien de sa fille plutôt qu'à sa nouvelle formation. Il a ainsi agi intentionnellement. Partant, le verdict culpabilité prononcé par le premier juge sera confirmé.</w:t>
      </w:r>
    </w:p>
    <w:p>
      <w:r>
        <w:rPr>
          <w:b/>
        </w:rPr>
        <w:t>E. 3</w:t>
      </w:r>
    </w:p>
    <w:p>
      <w:r>
        <w:t>3.1. L'art. 217 al. 1 CP est passible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3.2.2. Selon l'art. 34 al. 1 CP, la peine pécuniaire est de trois jours-amende au moins et ne peut excéder 180 jours-amende, le juge fixant leur nombre en fonction de la culpabilité de l'auteur. En règle générale, le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3.2.3. Le juge peut prononcer, en plus d'une peine avec sursis, une amende selon l'art. 106 CP (art. 42 al. 4 CP). D'après la jurisprudence, l'amende immédiate se justifie lorsque le sursis peut être octroyé, mais que, pour des motifs de prévention spéciale, une sanction ferme accompagnant la sanction avec sursis paraît mieux à même d'amener l'auteur à s'amender (ATF 134 IV 1 consid. 4.5.2 ; ATF 134 IV 60 consid. 7.3.2). En outre,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 du Tribunal fédéral 6B_903/2015 du 21 septembre 2016 consid. 1.2 et les références citées). L'amende et la peine privative de liberté de substitution seront fixées en tenant compte de la situation de l'auteur afin que la peine corresponde à la faute commise (art. 106 al. 3 CP). 3.2.4. La prohibition de la reformatio in pejus interdit en principe toute modification du dispositif en défaveur du recourant (cf. ATF 142 IV 129 consid. 4.5 p. 136).</w:t>
      </w:r>
    </w:p>
    <w:p>
      <w:r>
        <w:rPr>
          <w:b/>
        </w:rPr>
        <w:t>E. 3.3</w:t>
      </w:r>
    </w:p>
    <w:p>
      <w:r>
        <w:t>En l'espèce, la faute de l'appelant est importante. Il a omis de s'acquitter, même partiellement, durant onze mois, de la contribution d'entretien due à son ex-épouse, pour permettre à celle-ci de subvenir aux besoins de leur fille et ce dans la plus grande indifférence. Il a privilégié son confort personnel et celui de sa nouvelle conjointe au détriment de son enfant. Il a ainsi agi avec un mobile égoïste faisant fi de ses obligations de père. Sa collaboration à la procédure est sans particularité. Il persiste à nier les faits qui lui sont reprochés quand bien même il sait devoir une contribution d'entretien à sa fille. Il n'a exprimé aucun regret susceptible de démontrer qu'il aurait pris conscience de l'illicéité de ses actes et affirme d'ailleurs qu'en tout état il ne s'acquitterait pas de ses obligations, pour des raisons manifestement liées à un contentieux lié à son ex-épouse, mais ceci au détriment de leur fille. Sa situation économique, certes loin d'être aisée, ne saurait justifier ses agissements, dès lors qu'il aurait pu, à tout le moins, s'acquitter de montants partiels. L'absence d'antécédent est un facteur neutre dans le cadre de la fixation de la peine. Ainsi, une peine pécuniaire de 60 jours-amende, à CHF 30.- l'unité, apparaît adéquate et proportionnée, en regard de la faute de l'appelant et de sa situation personnelle. Le pronostic sur le comportement futur de l'appelant ne paraît pas clairement défavorable de sorte que le sursis doit lui être octroyé, étant en tout état acquis pour ne pas être contesté en appel. Partant, la peine prononcée est assortie du sursis et d'un délai d'épreuve de trois ans ainsi qu'une amende immédiate d'un montant de CHF 360.-. A cet égard, la CPAR relève que la peine privative de liberté de substitution fixée pour l’amende additionnelle devait être de 12 jours (taux de conversion à CHF 30.-), cela étant, en vertu du principe de l'interdiction de la reformatio in pejus , la peine de quatre jours sera maintenue. Le jugement de première instance sera dès lors confirmé.</w:t>
      </w:r>
    </w:p>
    <w:p>
      <w:r>
        <w:rPr>
          <w:b/>
        </w:rPr>
        <w:t>E. 4</w:t>
      </w:r>
    </w:p>
    <w:p>
      <w:r>
        <w:t>L'appelant, qui succombe, supportera les frais de la procédure d'appel, en CHF 1'135.-, qui comprennent un émolument de CHF 1'000.-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