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P/898/2017 vom 28. Juni 2018</w:t>
      </w:r>
    </w:p>
    <w:p>
      <w:r>
        <w:t>GE Cour de justice, 2018-06-28, FR</w:t>
      </w:r>
    </w:p>
    <w:p>
      <w:r>
        <w:rPr>
          <w:b/>
        </w:rPr>
        <w:t xml:space="preserve">Quelle: </w:t>
      </w:r>
      <w:r>
        <w:t>https://mcp.opencaselaw.ch/entscheid/ge_gerichte_P_898_2017</w:t>
      </w:r>
    </w:p>
    <w:p>
      <w:r>
        <w:t>FR: GE_GERICHTE P/898/2017 du 28 juin 2018</w:t>
      </w:r>
    </w:p>
    <w:p>
      <w:r>
        <w:t>IT: GE_GERICHTE P/898/2017 del 28 giugno 2018</w:t>
      </w:r>
    </w:p>
    <w:p>
      <w:pPr>
        <w:pStyle w:val="Heading2"/>
      </w:pPr>
      <w:r>
        <w:t>Regeste</w:t>
      </w:r>
    </w:p>
    <w:p>
      <w:r>
        <w:t>LStup.19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notamment la quotité de la peine (let. b). La Chambre limite son examen aux violations décrites dans l'acte d'appel (art. 404 al. 1 CPP), sauf en cas de décisions illégales ou inéquitables (art. 404 al. 2 CPP).</w:t>
      </w:r>
    </w:p>
    <w:p>
      <w:r>
        <w:rPr>
          <w:b/>
        </w:rPr>
        <w:t>E. 2.1</w:t>
      </w:r>
    </w:p>
    <w:p>
      <w:r>
        <w:t>L'appelant ne conteste plus, à juste titre, sa culpabilité, dûment établie par les éléments du dossier, pour les chefs d'infractions à l'art. 19 LStup, passible d'une peine privative de liberté de trois ans au plus ou d'une peine pécuniaire, à l'art. 115 al. 1 let. b LEtr, sanctionnée d'une peine privative de liberté d'un an au plus ou d'une peine pécuniaire, et à l'art. 119 al. 1 LEtr, punie d'une peine privative de liberté de trois ans au plus ou d'une peine pécuniaire.</w:t>
      </w:r>
    </w:p>
    <w:p>
      <w:r>
        <w:rPr>
          <w:b/>
        </w:rPr>
        <w:t>E. 2.2</w:t>
      </w:r>
    </w:p>
    <w:p>
      <w:r>
        <w:t>Le séjour illégal au sens de l'art. 115 al. 1 let. b LEtr est un délit de durée, un délit continu. L'infraction est achevée au moment où le séjour prend fin.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 arrêt du Tribunal fédéral 6B_1226/2013 précité). En effet, lorsque les autorités de poursuite pénale, se référant à l'effet de césure opéré par la condamnation en raison de la première infraction, introduisent une nouvelle procédure pénale, elles créent elles-mêmes les conditions d'une condamnation en raison d'un prétendu nouveau délit. Dans une telle situation, ce n'est pas la faute individuelle de l'auteur qui donne lieu à une sanction et qui est le fondement de la fixation de la peine, mais plutôt la rapidité aléatoire de la procédure pénale qui conduit à la construction d'effets de césure. La somme des peines prononcées à raison du délit continu doit ainsi être adaptée à la faute considérée dans son ensemble et ne pas excéder la peine maximale prévue par la loi. Le prévenu sera exempté de toute peine si les condamnations prononcées antérieurement atteignent ou dépassent la peine maximale prévue par la loi (ATF 135 IV 6 consid. 4.2 ; arrêt du Tribunal fédéral 6B_1226/2013 précité). 2.3.1. Les nouvelles dispositions sur le droit des sanctions sont entrées en vigueur le 1 er janvier 2018. La peine pécuniaire est désormais limitée à 180 jours-amende (art. 34 al. 1 du Code pénal suisse du 21 décembre 1937 [CP ; RS 311.0]). La novelle est ainsi plus favorable, eu égard à la jurisprudence rappelée ci-dessus (consid. 2.2). Elle sera donc prise en considération in casu dans l'examen du délit continu de séjour illégal, en application de la lex mitior (art. 2 al. 2 CP). 2.3.2. Conformément à l'art. 34 CP, la peine pécuniaire est fixée en jours-amende dont le nombre est déterminé en fonction de la culpabilité de l'auteur (al. 1). A cette fin, il y a lieu d'appliquer la règle générale de l'art. 47 CP, détaillée infra . En revanche, il ne doit être tenu compte des circonstances personnelles et d'une éventuelle sensibilité accrue à la sanction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(M. NIGGLI / H. WIPRÄCHTIGER, Basler Kommentar Strafrecht I : Art. 1-110 StGB, Jugendstrafgesetz , 3e éd., Bâle 2013, n. 40 ad art. 34 ; arrêt du Tribunal fédéral 6B_541/2007 du 13 mai 2008 consid. 6.3). 2.3.3.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6B_1428/2016 du 3 octobre 2017 consid. 4.1 ; 6B_326/2016 du 22 mars 2017 consid. 4.1). Bien que la récidive ne constitue plus un motif d'aggravation obligatoire de la peine (art. 67 a CP), les antécédents continuent de jouer un rôle très important dans la fixation de celle-ci (M. NIGGLI / H. WIPRÄCHTIGER (éds ), op. cit. ,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w:t>
      </w:r>
    </w:p>
    <w:p>
      <w:r>
        <w:rPr>
          <w:b/>
        </w:rPr>
        <w:t>E. 2.4</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w:t>
      </w:r>
    </w:p>
    <w:p>
      <w:r>
        <w:rPr>
          <w:b/>
        </w:rPr>
        <w:t>E. 2.5</w:t>
      </w:r>
    </w:p>
    <w:p>
      <w:r>
        <w:t>En l'espèce, la faute de l'appelant n'est pas anodine. Il séjourne illégalement en Suisse depuis plus de trois ans, sans interruption. Les précédentes condamnations pour séjour illégal tout comme la décision de renvoi et l'interdiction d'entrée prononcées à son encontre ne l'ont pas incité à quitter la Suisse. Il n'a entrepris aucune démarche afin de rentrer dans son pays d'origine et n'a donné aucun signe de ce qu'il entendait modifier son comportement à l'avenir. Les antécédents de l'appelant comprennent également des condamnations pour infractions à la LStup. Partant, les décisions et condamnations précédentes n'ont eu aucun effet dissuasif. Ses multiples récidives montrent qu'il fait fi des décisions des autorités. La collaboration de l'appelant est moyenne dans la mesure où il a nié la vente de marijuana devant le premier juge, faits pourtant reconnus devant la police et le Ministère public. Même si la précarité de la situation personnelle de l'appelant explique, en partie, ses agissements, elle ne saurait les justifier, étant relevé que son absence totale de liens avec la Suisse rend encore moins compréhensible sa volonté de demeurer en toute illégalité dans ce pays. A juste titre, l'appelant ne remet pas en cause le type de peine prononcée par le Tribunal de police ou le refus du sursis. Il y a concours d'infractions entre les art. 19 al. 1 LStup, 115 al. 1 let. b et 119 al. 1 LEtr, ce qui commande une augmentation de la peine dans une juste proportion. L'examen du casier judiciaire de l'appelant conduit cependant à constater que celui-ci a globalement déjà été condamné à plus de 180 jours-amende pour séjour illégal en 2015 et 2016. Par conséquent, le plafond fixé par la jurisprudence est désormais atteint. L'appelant sera donc exempté de toute peine du chef de séjour illégal. Au vu de ce qui précède, en particulier de l'exemption de peine prononcée en lien avec l'infraction à l'art. 115 al. 1 let. b LEtr, une peine pécuniaire de 60 jours-amende consacrerait une application correcte des critères de l'art. 47 CP, pour les infractions aux articles 119 LEtr et 19 LStup, c'est sous réserve de la question de la peine d'ensemble (consid. 4).</w:t>
      </w:r>
    </w:p>
    <w:p>
      <w:r>
        <w:rPr>
          <w:b/>
        </w:rPr>
        <w:t>E. 3</w:t>
      </w:r>
    </w:p>
    <w:p>
      <w:r>
        <w:t>3.1. Selon l'art. 46 CP, si, durant le délai d'épreuve, le condamné commet un crime ou un délit et qu'il y a dès lors lieu de prévoir qu'il commettra de nouvelles infractions, le juge révoque le sursis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w:t>
      </w:r>
    </w:p>
    <w:p>
      <w:r>
        <w:rPr>
          <w:b/>
        </w:rPr>
        <w:t>E. 3.2</w:t>
      </w:r>
    </w:p>
    <w:p>
      <w:r>
        <w:t>En l'espèce, l'appelant n'a encore jamais eu à exécuter les peines auxquelles il a été condamné, ayant toujours été mis au bénéfice d'un sursis. Dès lors, même si le pronostic quant au risque de récidive n'est pas favorable, les antécédents étant tous spécifiques, et qu'on ne voit pas de perspectives d'amendement, la révocation de l'ensemble des sursis précédemment octroyés paraît être d'une excessive sévérité. Il convient plutôt de procéder par étapes, en révoquant uniquement le dernier sursis en date, avec l'espoir que cette mesure, combinée avec l'exécution de la présente peine, auront un effet sur la prise de conscience. La décision entreprise sera réformée sur ce point.</w:t>
      </w:r>
    </w:p>
    <w:p>
      <w:r>
        <w:rPr>
          <w:b/>
        </w:rPr>
        <w:t>E. 4</w:t>
      </w:r>
    </w:p>
    <w:p>
      <w:r>
        <w:t>Dans sa teneur entrée en vigueur le 1 er janvier 2018, plus favorable à l'appelant, l'art. 46 al. 1 CP prévoit que si la peine révoquée et la nouvelle peine sont du même genre, le juge fixe une peine d'ensemble en appliquant par analogie l'art. 49 al. 1 CP ( cf. consid. 2.4). Au regard des circonstances du cas d'espèce, la CPAR fixera une peine pécuniaire d'ensemble de 150 jours-amende. Le jugement attaqué sera réformé dans le sens de ces considérants.</w:t>
      </w:r>
    </w:p>
    <w:p>
      <w:r>
        <w:rPr>
          <w:b/>
        </w:rPr>
        <w:t>E. 5</w:t>
      </w:r>
    </w:p>
    <w:p>
      <w:r>
        <w:t>Le verdict de culpabilité n'étant pas remis en question dans la procédure d'appel, celle-ci portant exclusivement sur la quotité de la peine, la condamnation de l'appelant aux frais de première instance, non contestée, n'a pas à être revue (art. 428 al. 3 CPP).</w:t>
      </w:r>
    </w:p>
    <w:p>
      <w:r>
        <w:rPr>
          <w:b/>
        </w:rPr>
        <w:t>E. 6</w:t>
      </w:r>
    </w:p>
    <w:p>
      <w:r>
        <w:t>Vu l'issue de la procédure d'appel, fortement favorable pour l'appelant, les frais y relatifs seront laissés à la charge de l'Etat (art. 428 CPP).</w:t>
      </w:r>
    </w:p>
    <w:p>
      <w:r>
        <w:rPr>
          <w:b/>
        </w:rPr>
        <w:t>E. 7</w:t>
      </w:r>
    </w:p>
    <w:p>
      <w:r>
        <w:t>L'état de frais produit par le défenseur d'office de l'appelant est adéquat et respecte les principes applicables en matière d'assistance juridique. Partant, son indemnité sera arrêtée à CHF 907.20, correspondant à trois heures et trente minutes d'activité au tarif de CHF 200.-/heure (CHF 700.-), plus la majoration forfaitaire usuelle de 20% (CHF 140.-) et la TVA, au taux de 8% (CHF 67.20), selon la pratique transitoire du Pouvoir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