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P/8919/2021 vom 19. Dezember 2022</w:t>
      </w:r>
    </w:p>
    <w:p>
      <w:r>
        <w:t>GE Cour de justice, 2022-12-19, FR</w:t>
      </w:r>
    </w:p>
    <w:p>
      <w:r>
        <w:rPr>
          <w:b/>
        </w:rPr>
        <w:t xml:space="preserve">Quelle: </w:t>
      </w:r>
      <w:r>
        <w:t>https://mcp.opencaselaw.ch/entscheid/ge_gerichte_P_8919_2021</w:t>
      </w:r>
    </w:p>
    <w:p>
      <w:r>
        <w:t>FR: GE_GERICHTE P/8919/2021 du 19 décembre 2022</w:t>
      </w:r>
    </w:p>
    <w:p>
      <w:r>
        <w:t>IT: GE_GERICHTE P/8919/2021 del 19 dicembre 2022</w:t>
      </w:r>
    </w:p>
    <w:p>
      <w:pPr>
        <w:pStyle w:val="Heading2"/>
      </w:pPr>
      <w:r>
        <w:t>Regeste</w:t>
      </w:r>
    </w:p>
    <w:p>
      <w:r>
        <w:t>ORDONNANCE DE NON-ENTRÉE EN MATIÈRE;GESTION DÉLOYALE;EXTENSION DE LA PROCÉDURE;FOR DE LA POURSUITE | CP.3.al1; CPP.311.al2; CPP.310.al1.letb; CP.158</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121 al. 1 et 382 al. 1 CPP; ATF 146 IV 76 consid. 2.2.2).![endif]&gt;![if&gt;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se plaint d'une violation de l'art. 319 CPP.![endif]&gt;![if&gt;</w:t>
      </w:r>
    </w:p>
    <w:p>
      <w:r>
        <w:rPr>
          <w:b/>
        </w:rPr>
        <w:t>E. 3.1</w:t>
      </w:r>
    </w:p>
    <w:p>
      <w:r>
        <w:t>Conformément à l'art. 311 al. 2 CPP, le ministère public peut étendre l'instruction à d'autres prévenus et à d'autres infractions, l'art. 309 al. 3 CPP étant alors applicable. La partie plaignante est fondée à formuler une requête tendant à une telle extension de l'instruction (cf. art. 109 al. 1 CPP). Si cette requête peut être assimilée à une plainte (art. 303 CPP et 304 CPP), il appartient alors au ministère public de rendre une décision formelle en procédant, mutatis mutandis , conformément aux art. 309 CPP et 310 CPP (GRODECKI/CORNU, in JEANNERET/KUHN/PERRIER DEPEURSINGE, Commentaire romand, Code de procédure pénale , 2 e éd. 2019, n° 17 ad art. 311 CPP; MOREILLON/PAREIN-REYMOND, Petit commentaire, Code de procédure pénale , 2 e éd. 2019, n° 15 ad art. 311 CPP). S'il refuse la requête d'extension, sa décision s'apparente à une non-entrée en matière au sens de l'art. 310 CPP (arrêt du Tribunal fédéral 6B_1276/2019 du 27 février 2020 consid. 3.1 et références citées). ![endif]&gt;![if&gt;</w:t>
      </w:r>
    </w:p>
    <w:p>
      <w:r>
        <w:rPr>
          <w:b/>
        </w:rPr>
        <w:t>E. 3.2</w:t>
      </w:r>
    </w:p>
    <w:p>
      <w:r>
        <w:t>Si l'une des conditions d'exercice de l'action publique fait défaut – ce qui doit être examiné d'office et à tous les stades de la procédure –, la poursuite pénale ne peut être engagée, ou, si elle a été déclenchée, elle doit s'arrêter. L'autorité doit clore le procès par une décision procédurale, notamment une ordonnance de non-entrée en matière ou de classement (art. 310 al. 1 let. b et 319 al. 1 let. d CPP; G. PIQUEREZ / A. MACALUSO, Procédure pénale suisse , 3 e éd., 2011, p. 537, n. 1553 et 1555).![endif]&gt;![if&gt; L'absence de for en Suisse est un empêchement de procéder (arrêt du Tribunal fédéral 6B_266/2020 du 27 mai 2020 consid. 2). Le dépôt valable d'une plainte, s'agissant d'une infraction poursuivie uniquement sur plainte, constitue une condition à l'ouverture de l'action pénale, de sorte que son défaut doit conduire au prononcé d'un classement ou d'une ordonnance de non-entrée en matière (art. 310 al. 1 let. a CPP ; arrêt du Tribunal fédéral 1P.532/2001 du 15 novembre 2001 consid. 2b ; MOREILLON/PAREIN-REYMOND, op. cit. , n. 1 a ad art. 310). 3.3.1. 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p. 148 et l'arrêt cité; arrêt du Tribunal fédéral 6B_21/2009 du 19 mai 2009 consid. 1.1.).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p. 275). La notion de résultat a évolué au fil de la jurisprudence. À l'origine, le Tribunal fédéral a défini le résultat comme " le dommage à cause duquel le législateur a rendu un acte punissable " (ATF 97 IV 205 consid. 2 p. 209). Il a ensuite admis que seul le résultat au sens technique, qui caractérise les délits matériels ( Erfolgsdelikte ), était propre à déterminer le lieu de commission d'une infraction (ATF 105 IV 326 consid. 3c à g p. 327 ss). 3.3.2.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(art. 158 CP). Cette infraction suppose quatre conditions: il faut que l'auteur ait eu une position de gérant, qu'il ait violé une obligation lui incombant en cette qualité, qu'il en soit résulté un préjudice et qu'il ait agi intentionnellement (ATF 120 IV 190 consid. 2b p. 192). La gestion déloyale est une infraction de résultat, celui-ci se concrétisant par la survenance du dommage. Dans sa forme qualifiée, la gestion déloyale implique que l'auteur a agi dans un dessein d'enrichissement illégitime. La notion de résultat ne se limite pas à la notion technique (propre aux délits matériels) et il n'est pas exigé qu'il réalise un élément constitutif de l'infraction. Comme pour les autres infractions prévoyant un dessein d'enrichissement illégitime, il convient de considérer, pour la gestion déloyale qualifiée, que le lieu où devait se produire le résultat recherché par l'auteur, soit l'enrichissement (et où il s'est peut-être, suivant le cas, produit) est un lieu du résultat au sens de l'art. 8 CP (arrêt du Tribunal fédéral 6B_659/2014 du 22 décembre 2017 consid. 6.4.1; A. MACALUSO / L. MOREILLON / N. QUELOZ [éds], Commentaire romand, Code pénal II : Art. 111-392 CP , Bâle 2017, n. 128-131 ad art. 158 CP).</w:t>
      </w:r>
    </w:p>
    <w:p>
      <w:r>
        <w:rPr>
          <w:b/>
        </w:rPr>
        <w:t>E. 3.4</w:t>
      </w:r>
    </w:p>
    <w:p>
      <w:r>
        <w:t>En l'espèce, dans sa demande d'extension de la procédure, la recourante se limite à reprocher au mis en cause d'avoir bénéficié de la cession, par sa belle-mère, d'un bien immobilier à F______ [Italie] et d'avoir touché un profit de la vente subséquente dudit bien à des tiers. Or, l'acte de cession du bien immobilier à F______ a été instrumenté en Italie par un notaire de ce pays, de sorte que tant l'acte reproché que son résultat, à savoir la diminution alléguée du patrimoine de l'éventuelle lésée, se sont produits en Italie. Il en va de même de l'acte de vente du bien le 15 octobre 2021. Il n'existe ainsi pas de rattachement suffisant avec la Suisse pour fonder la compétence des autorités genevoises. Par ailleurs, même à supposer un rattachement de la cause avec la Suisse en raison d'un hypothétique enrichissement du mis en cause lié à l'absence de prise en charge des frais d'EMS et d'hôpitaux de la mère de la recourante, force est de constater qu'il s'agirait d'un litige de nature purement civile, qui a trait à l'interprétation de clauses contractuelles, en l'occurrence de l'acte de cession du 31 juillet 2018. Par ailleurs, à teneur du dossier, on ne voit pas à quel titre le mis en cause revêtirait la qualité de gérant au sens de l'art. 158 CP, soit l'infraction faisant l'objet de la plainte initiale du 26 avril 2021. Partant, le raisonnement du Ministère public est fondé. Par conséquent, il existe un empêchement de procéder relatif aux faits entourant l'acte de cession du 31 juillet 2018 litigieux puis l'acte de vente du 15 octobre 2021.</w:t>
      </w:r>
    </w:p>
    <w:p>
      <w:r>
        <w:rPr>
          <w:b/>
        </w:rPr>
        <w:t>E. 4</w:t>
      </w:r>
    </w:p>
    <w:p>
      <w:r>
        <w:t>En ce qui concerne le grief lié au produit des éventuelles infractions commises par sa défunte épouse, dont le mis en cause aurait bénéficié en sa qualité d'héritier de la première, la recourante l'invoque pour la première fois au stade du recours. Partant, cette éventuelle infraction – par hypothèse le recel – n'étant mentionnée ni dans la demande d'extension de la procédure du 1 er juin 2022, ni dans l'ordonnance litigieuse, il n'appartient pas à la Chambre de céans d'examiner le bien-fondé de l'extension sollicitée.![endif]&gt;![if&gt; Par surabondance de motifs, force est de constater que la demande d'extension de la procédure pénale, adressée le 3 juin 2022, est postérieure de plus de trois mois à la prise de connaissance par la recourante, le 23 avril 2021, de l'acte de cession de la maison à F______ au mis en cause et à son épouse. Elle est également postérieure de plus de trois mois à sa prise de connaissance des autres actes qu'elle reproche à sa sœur. Compte tenu de ce que les éventuelles infractions préalables, soit celles reprochées à l'épouse du mis en cause, ne sont poursuivies que sur plainte car commises au préjudice d'une proche (cf. art. 138 ch. 1 in fine CP; art. 139 ch. 4 CP; art. 146 ch. 3 CP; art. 158 ch. 3 CP), la demande d'extension de la procédure, qui s'assimile à une plainte pénale contre le mis en cause, est tardive car postérieure au délai de trois mois prévu à l'art. 31 CP, l'infraction de recel étant, dans ce cas, poursuivie uniquement sur plainte (cf. A. MACALUSO / L. MOREILLON / N. QUELOZ [éds], op. cit. , n. 86 ad art. 160 CP). Partant, il existerait de toute façon, pour ces faits – dénoncés au stade du recours – un empêchement de procéder au sens de l'art. 319 al. 1 let. d CPP.</w:t>
      </w:r>
    </w:p>
    <w:p>
      <w:r>
        <w:rPr>
          <w:b/>
        </w:rPr>
        <w:t>E. 5</w:t>
      </w:r>
    </w:p>
    <w:p>
      <w:r>
        <w:t>Justifiée, l'ordonnance querellée sera donc confirmée. Au vu de cette issue, les conclusions prises par la recourante liées à l'instruction de la cause sont sans objet.![endif]&gt;![if&gt;</w:t>
      </w:r>
    </w:p>
    <w:p>
      <w:r>
        <w:rPr>
          <w:b/>
        </w:rPr>
        <w:t>E. 6</w:t>
      </w:r>
    </w:p>
    <w:p>
      <w:r>
        <w:t>La recourante, qui succombe, supportera les frais envers l'État, qui seront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