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P/8904/2025 vom 15. April 2025</w:t>
      </w:r>
    </w:p>
    <w:p>
      <w:r>
        <w:t>GE Cour de justice, 2025-04-15, FR</w:t>
      </w:r>
    </w:p>
    <w:p>
      <w:r>
        <w:rPr>
          <w:b/>
        </w:rPr>
        <w:t xml:space="preserve">Quelle: </w:t>
      </w:r>
      <w:r>
        <w:t>https://mcp.opencaselaw.ch/entscheid/ge_gerichte_P_8904_2025</w:t>
      </w:r>
    </w:p>
    <w:p>
      <w:r>
        <w:t>FR: GE_GERICHTE P/8904/2025 du 15 avril 2025</w:t>
      </w:r>
    </w:p>
    <w:p>
      <w:r>
        <w:t>IT: GE_GERICHTE P/8904/2025 del 15 aprile 2025</w:t>
      </w:r>
    </w:p>
    <w:p>
      <w:pPr>
        <w:pStyle w:val="Heading2"/>
      </w:pPr>
      <w:r>
        <w:t>Regeste</w:t>
      </w:r>
    </w:p>
    <w:p>
      <w:r>
        <w:t>PROFIL D'ADN | CPP.255.al1bis</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 dans le cadre de la présente procédure. 2.1.1. 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2.1.2. 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 2.1.3. 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de prendre également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arrêts du Tribunal fédéral 1B_259/2022 du 23 juin 2023 consid. 4.3; 1B_230/2022 du 7 septembre 2022 consid. 2.2). Lorsque la mesure vise à élucider des infractions passées ou futures, elle n'est pas soumise à la condition de l'existence de soupçons suffisants laissant présumer une infraction au sens de l'art. 197 al. 1 CPP : des indices au sens susmentionné suffisent. Des soupçons suffisants doivent cependant exister en ce qui concerne l'acte qui a fondé le prélèvement ou l'établissement du profil d'ADN (ATF 145 IV 263 consid. 3.4).</w:t>
      </w:r>
    </w:p>
    <w:p>
      <w:r>
        <w:rPr>
          <w:b/>
        </w:rPr>
        <w:t>E. 2.2</w:t>
      </w:r>
    </w:p>
    <w:p>
      <w:r>
        <w:t>En l'espèce, il est constant que l'établissement du profil d'ADN du recourant a été ordonné pour élucider, non pas les infractions visées par la présente procédure, mais d'autres actes " passés " en lien avec la LStup, dès lors qu'il a déjà été soupçonné de délits, notamment à la LStup. Il ressort en effet du dossier que le recourant a admis sa participation à un trafic de stupéfiant telle que reproché le 11 mars 2025, à savoir notamment la vente de trois boulettes de cocaïne à un toxicomane et la détention d'un solde de six boulettes au moment de son interpellation. Peu importe qu'il ait formé opposition à l'ordonnance pénale du 12 mars 2025 (P/1______/2025), puisqu'il existe des indices sérieux et concrets – vu les circonstances de son interpellation et ses déclarations – de la commission de tels actes punissables. S'y ajoute le contexte personnel du recourant, laissant craindre un ancrage dans la délinquance liée aux stupéfiants. Il sera rappelé que l'ordonnance querellée a été rendue alors qu'il venait de se faire interpeller une nouvelle fois dans le quartier des Pâquis – notoirement connu pour abriter un trafic de rue de diverses drogues –, à peine plus d'un mois après que lui avait été notifiée une interdiction de pénétrer dans le canton de Genève, le 12 mars 2025, pour une durée d'une année, et que l'ordonnance pénale rendue le 16 avril 2025 a retenu à son encontre non seulement des infractions aux l'art. 286 CP et 11C al. 1 LPG (pour avoir uriné sur la voie publique), mais également aux art. 115 al. 1 let. b et 119 LEI. Ces éléments permettent de penser que l'intéressé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 bis CPP, lequel autorise l'établissement d'un profil d'ADN pour les infractions passées. Le fait pour le Ministère public d'avoir, dans de telles circonstances, ordonné l'établissement du profil d'ADN du recourant, quand bien même cette autorité l'aurait ordonné à quatre reprises, selon l'intéressé, entre les mois d'avril et mai 2025, dans d'autres procédures, ne suffit pas à rendre la mesure disproportionnée. Enfin, le fait que son coût soit éventuellement mis à la charge du recourant – ce qui n'est pas évident à ce stade, dès lors que cette question ne se posera éventuellement qu'à l'issue de la procédure et à la condition que l'intéressé soit condamné – n'est pas pertinent. S'agissant du grief à teneur duquel toutes les ordonnances pénales figurant à la procédure violeraient l'art. 353 al. 1 let. f bis CPP, il est exorbitant au présent recours, qui porte uniquement sur l'ordonnance d'établissement d'un profil d'ADN prononcée le 15 avril 2025, et non sur les différentes ordonnances pénales rendues dans le cadre de la présente procédure. En définitive,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fixés en totalité à CHF 500.- (art. 428 al. 1 CPP et 13 al. 1 du Règlement fixant le tarif des frais en matière pénale, RTFMP; E 4 10.03).</w:t>
      </w:r>
    </w:p>
    <w:p>
      <w:r>
        <w:rPr>
          <w:b/>
        </w:rPr>
        <w:t>E. 5</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