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P/8880/2018 vom 17. Dezember 2018</w:t>
      </w:r>
    </w:p>
    <w:p>
      <w:r>
        <w:t>GE Cour de justice, 2018-12-17, FR</w:t>
      </w:r>
    </w:p>
    <w:p>
      <w:r>
        <w:rPr>
          <w:b/>
        </w:rPr>
        <w:t xml:space="preserve">Quelle: </w:t>
      </w:r>
      <w:r>
        <w:t>https://mcp.opencaselaw.ch/entscheid/ge_gerichte_P_8880_2018</w:t>
      </w:r>
    </w:p>
    <w:p>
      <w:r>
        <w:t>FR: GE_GERICHTE P/8880/2018 du 17 décembre 2018</w:t>
      </w:r>
    </w:p>
    <w:p>
      <w:r>
        <w:t>IT: GE_GERICHTE P/8880/2018 del 17 dicembre 2018</w:t>
      </w:r>
    </w:p>
    <w:p>
      <w:pPr>
        <w:pStyle w:val="Heading2"/>
      </w:pPr>
      <w:r>
        <w:t>Regeste</w:t>
      </w:r>
    </w:p>
    <w:p>
      <w:r>
        <w:t>CLASSEMENT DE LA PROCÉDURE;LIGNE ÉLECTRIQUE;CHEMIN DE FER(MOYEN DE TRANSPORT);LÉSION CORPORELLE PAR NÉGLIGENCE;POSITION DE GARANT;ASSISTANCE JUDICIAIRE | CPP.310; CP.125; CP.12.al3; CP.11; OIBT; CPP.136</w:t>
      </w:r>
    </w:p>
    <w:p>
      <w:pPr>
        <w:pStyle w:val="Heading2"/>
      </w:pPr>
      <w:r>
        <w:t>Erwägungen</w:t>
      </w:r>
    </w:p>
    <w:p>
      <w:r>
        <w:rPr>
          <w:b/>
        </w:rPr>
        <w:t>E. 1</w:t>
      </w:r>
    </w:p>
    <w:p>
      <w:r>
        <w:t>Le recours est recevable pour avoir été déposé selon la forme et dans le délai prescrits - la décision querellée ayant été communiquée par pli simple -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reproche au Ministère public de ne pas être entré matière sur les faits dénoncés dans sa plainte pénale.</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 in dubio pro duriore "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w:t>
      </w:r>
    </w:p>
    <w:p>
      <w:r>
        <w:rPr>
          <w:b/>
        </w:rPr>
        <w:t>E. 2.2</w:t>
      </w:r>
    </w:p>
    <w:p>
      <w:r>
        <w:t>L'art. 125 CP réprime le comportement de celui qui, par négligence, aura fait subir à une personne une atteinte à l'intégrité corporelle ou à la santé. Aux termes de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 79).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 2.1 p. 140). En second lieu, la violation du devoir de prudence doit être fautive, c'est-à-dire qu'il faut pouvoir reprocher à l'auteur une inattention ou un manque d'effort blâmable (ATF 135 IV 56 consid. 2.1 p. 64; 134 IV 255 consid. 4.2.3 p. 262). L'infraction de lésions corporelles par négligence suppose en règle générale un comportement actif. Elle peut toutefois aussi être commise par un comportement passif contraire à une obligation d'agir (art. 11 al. 1 CP). Reste passif en violation d'une obligation d'agir celui qui n'empêche pas la mise en danger ou la lésion d'un bien juridique protégé par la loi pénale bien qu'il y soit tenu à raison de sa situation juridique. L'art.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ATF 141 IV 249 consid. 1.1 p. 251 s.; 134 IV 255 consid. 4.2.1 p. 259 s.). Il faut en outre qu'il existe un rapport de causalité entre la violation fautive du devoir de prudence et les lésions de la victime.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p. 265). L'existence de cette causalité dite hypothétique suppose une très grande vraisemblance; autrement dit, elle n'est réalisée que lorsque l'acte attendu ne peut pas être inséré intellectuellement dans le raisonnement sans en exclure, très vraisemblablement, le résultat (ATF 116 IV 182 consid. 4a p. 185). La causalité adéquate est ainsi exclue lorsque l'acte attendu n'aurait vraisemblablement pas empêché la survenance du résultat ou lorsqu'il serait simplement possible qu'il l'eût empêché (arrêt du Tribunal fédéral 6B_948/2017 du 8 mars 2018 consid. 4.1 et les références citées).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p. 265 s.; 133 IV 158 consid. 6.1 p. 168).</w:t>
      </w:r>
    </w:p>
    <w:p>
      <w:r>
        <w:rPr>
          <w:b/>
        </w:rPr>
        <w:t>E. 2.3</w:t>
      </w:r>
    </w:p>
    <w:p>
      <w:r>
        <w:t>En l'espèce, il est constant que l'incident du 5 avril 2018 s'est produit alors que le recourant était chargé, en sa qualité de monteur, d'exécuter des travaux d'entretien sur une portion des installations électriques situées au-dessus des voies de chemin de fer à la gare B______. Le recourant et le Ministère public divergent toutefois quant à la cause de l'électrocution, le premier estimant qu'un interrupteur de mise hors-tension, qui ne figurait pas sur les DET, n'avait pas été déclenché en amont, le Procureur étant pour sa part d'avis que le contrôle préalable de la tension avant toute manipulation des câbles, comme règle de prudence fondamentale, n'avait pas été correctement effectué. Cette dernière opinion ne peut être suivie. Il ressort en effet du dossier soumis à la Chambre de céans que le recourant et D______ ont tous deux déclaré à la police avoir contrôlé l'absence de tension sur les groupes électriques concernés, avant d'installer des perches de mise à terre à chaque extrémité ainsi qu'au milieu du tronçon en question, pour enfin débuter avec les travaux d'entretien proprement dits. Quant au troisième ouvrier, F______, s'il ne confirme ni n'infirme les déclarations de ses collègues, il ressort du formulaire CFF du 5 avril 2018 qu'il a bien adressé, à l'heure convenue, une demande de déclenchement des deux interrupteurs désignés dans le DET au spécialiste Courant ferroviaire. Dans ces conditions, le Ministère public ne pouvait, en l'état du dossier et sous l'angle du principe in dubio pro duriore applicable à ce stade, retenir l'absence de lien de causalité adéquate entre une éventuelle erreur dans les DET et l'accident ou, plus exactement, l'interruption de ce lien du fait de l'omission, par le recourant, de contrôle de la tension électrique. Même dans l'hypothèse où un tel contrôle aurait été omis, cette circonstance n'apparaît a priori pas revêtir le degré d'imprévisibilité et d'importance requis par la jurisprudence pour reléguer au second plan tout autre facteur ayant contribué à la survenance de l'accident, notamment l'absence de référence, dans les DET, à l'existence d'un troisième interrupteur à déclencher pour le secteur concerné. Il n'est pas exclu que ce dernier élément, mis en exergue dans chacune des dépositions des trois ouvriers entendus, puisse être à l'origine de l'électrocution subie par le recourant et constituer, cas échéant, une violation d'un devoir de prudence incombant au responsable des travaux. On relèvera à cet égard que le déclenchement des installations électriques est la première des cinq règles de base de sécurité mises en évidence par l'ESTI dans sa directive "Activités sur des installations électriques" , sur laquelle s'appuie le Ministère public dans ses observations, cela avant même la vérification de l'absence de tension. Cette mesure de sécurité est également consacrée dans l'Ordonnance sur les installations électriques à basse tension citée par l'intimé (art. 22 al. 1 let. a OIBT), dont on peut par ailleurs douter qu'elle soit directement applicable en l'espèce, vu le voltage des lignes électriques concernées - 15'000 Volts selon D______, contre 1000 à 1500 Volts maximum pour l'OIBT (art. 1 al. 2 let. a OIBT) -, situées qui plus est sur un chemin de fer et vraisemblablement soumises à la législation spéciale en la matière (voir à cet égard les art. 45 et 46 de l'Ordonnance sur les chemins de fer [OCF ; RS 742.141.1] et ses dispositions d'exécutions édictées par le DETEC: https://www.bav.admin.ch/bav/fr/home/droit/ bases-legales-prescriptions/de-ocf.html). Force est également de constater qu'outre la question du caractère incomplet des indications figurant dans les DET, d'autres facteurs pourraient également être à l'origine de l'incident du 5 avril 2018, notamment la présence d'une isolation de section qui, en raison de son caractère vétuste, serait passée inaperçue chez les ouvriers présents cette nuit-là et n'aurait dès lors pas été sécurisée. D______ a déclaré à cet égard que l'absence de visibilité sur cette isolation de section était, avec le caractère incomplet des DET, à l'origine du choc électrique. Pris ensemble, ces éléments commandaient l'ouverture d'une instruction afin de déterminer les circonstances exactes entourant l'incident du 5 avril 2018 - dont les séquelles chez le recourant sont loin d'être bénignes -, de sérieux doutes subsistant à l'issue des investigations policières. Cas échéant, il appartiendra au Ministère public d'examiner si, en fonction de leurs obligations, le ou les responsables des travaux ce jour-là assumaient une position de garant à l'égard du recourant et si une omission fautive peut leur être imputée dans ce cadre. Les mesures d'instruction requises par le recourant comme premières investigations - notamment l'audition de G______, désigné dans les DET comme " commettant " pour les travaux d'entretien concernés, voire celle de H______, chef intervention CFF dépêché sur les lieux - paraissent pertinentes et pourront être mises en oeuvre par le Ministère public, cas échéant après la production du rapport interne des CFF relatif à l'accident.</w:t>
      </w:r>
    </w:p>
    <w:p>
      <w:r>
        <w:rPr>
          <w:b/>
        </w:rPr>
        <w:t>E. 3</w:t>
      </w:r>
    </w:p>
    <w:p>
      <w:r>
        <w:t>Le recourant fait grief au Ministère public de ne pas lui avoir désigné de conseil juridique gratuit.</w:t>
      </w:r>
    </w:p>
    <w:p>
      <w:r>
        <w:rPr>
          <w:b/>
        </w:rPr>
        <w:t>E. 3.1</w:t>
      </w:r>
    </w:p>
    <w:p>
      <w:r>
        <w:t>À teneur de l'art. 136 al. 1 CPP - qui concrétise la garantie de l'art. 29 al. 3 Cst. -, la direction de la procédure accorde entièrement ou partiellement l'assistance judiciaire à la partie plaignante pour lui permettre de faire valoir ses prétentions civiles lorsqu'elle est indigente (let. a) et que l'action civile ne paraît pas vouée à l'échec (let. b). Selon l'al. 2 de cet article, l'assistance judiciaire comprend l'exonération d'avances de frais et de sûretés (let. a), l'exonération des frais de procédure (let. b) et la désignation d'un conseil juridique gratuit, lorsque la défense des intérêts de la partie plaignante l'exige (let. c). Une personne est indigente lorsqu'elle n'est pas en mesure d'assumer les frais de la procédure sans porter atteinte au minimum nécessaire à son entretien et à celui de sa famille (ATF 141 III 369 consid. 4.1 p. 371). Pour déterminer l'indigence, il convient de prendre en considération l'ensemble de la situation financière du requérant au moment où la demande est présentée. Il y a lieu de mettre en balance, d'une part, la totalité des ressources effectives du requérant et, d'autre part, l'ensemble de ses engagements financiers (ATF 135 I 221 consid. 5.1 p. 223; arrêt du Tribunal fédéral 1B_357/2017 du 15 novembre 2017 consid. 2.2).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(ATF 135 I 221 consid. 5.1 p. 223 et les arrêts cités ; arrêt du Tribunal fédéral 1B_400/2012 du 7 août 2012 consid. 4.1).</w:t>
      </w:r>
    </w:p>
    <w:p>
      <w:r>
        <w:rPr>
          <w:b/>
        </w:rPr>
        <w:t>E. 3.2</w:t>
      </w:r>
    </w:p>
    <w:p>
      <w:r>
        <w:t>En l'espèce, le Ministère public a refusé la nomination d'un conseil juridique gratuit au recourant en raison de l'absence de chance de succès de sa cause (art. 136 al. 1 let. b CPP), raisonnement qui ne saurait être suivi au vu des considérations ci-dessus, conduisant à l'annulation de l'ordonnance de non-entrée en matière. Cela étant, le droit à l'assistance d'un conseil juridique suppose dans tous les cas l'indigence de la partie plaignante (art. 136 al. 1 let. a CPP), condition qu'il lui appartient de démontrer, pièces à l'appui (cf. ATF 125 IV 161 consid. 4a p. 164 s.). À cet égard, le recourant a déposé, au stade du recours seulement, un formulaire accompagné de pièces justificatives. Sur cette base, le Service de l'assistance juridique a retenu que sa situation financière lui permettait de régler par ses propres moyens les honoraires de son avocat, son disponible mensuel dépassant de CHF 2'089.- le minimum vital élargi et de CHF 2'293.- le minimum vital strict. Un tel montant disponible apparaît en effet suffisant pour couvrir les frais prévisibles et nécessaires à la défense des intérêts du recourant dans le cadre de la procédure pénale, de sorte que ce dernier échoue à apporter la preuve de son indigence (art. 136 al. 1 let. a CPP). Son grief sera rejeté, et la décision querellée confirmée à cet égard, par substitution de motifs.</w:t>
      </w:r>
    </w:p>
    <w:p>
      <w:r>
        <w:rPr>
          <w:b/>
        </w:rPr>
        <w:t>E. 4</w:t>
      </w:r>
    </w:p>
    <w:p>
      <w:r>
        <w:t>Il s'ensuit que le recours est partiellement admis, en tant qu'il concerne l'ordonnance de non-entrée en matière et de refus de réquisitions de preuve, le refus de désignation d'un conseil juridique gratuit devant pour le surplus être confirmé.</w:t>
      </w:r>
    </w:p>
    <w:p>
      <w:r>
        <w:rPr>
          <w:b/>
        </w:rPr>
        <w:t>E. 5</w:t>
      </w:r>
    </w:p>
    <w:p>
      <w:r>
        <w:t>Le recourant sollicite l'assistance juridique pour la procédure devant la Chambre de céans. On peut à cet égard renvoyer aux considérations précédentes relatives au refus de nomination d'un conseil juridique gratuit pour la procédure devant le Ministère public (cf. consid. 3. supra ), dont il ressort que, faute d'indigence, le recourant ne saurait prétendre à l'assistance juridique s'agissant de la procédure de recours.</w:t>
      </w:r>
    </w:p>
    <w:p>
      <w:r>
        <w:rPr>
          <w:b/>
        </w:rPr>
        <w:t>E. 6</w:t>
      </w:r>
    </w:p>
    <w:p>
      <w:r>
        <w:t>Le recourant obtient partiellement gain de cause et devrait être dispensé des frais de procédure dans cette mesure seulement (art. 428 al. 1 CPP). Cela étant, l'examen de sa demande d'assistance juridique - grief pour lequel il succombe - est gratuit, de sorte que l'entier des frais sera laissé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