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P/8850/2023 vom 23. November 2023</w:t>
      </w:r>
    </w:p>
    <w:p>
      <w:r>
        <w:t>GE Cour de justice, 2023-11-23, FR</w:t>
      </w:r>
    </w:p>
    <w:p>
      <w:r>
        <w:rPr>
          <w:b/>
        </w:rPr>
        <w:t xml:space="preserve">Quelle: </w:t>
      </w:r>
      <w:r>
        <w:t>https://mcp.opencaselaw.ch/entscheid/ge_gerichte_P_8850_2023</w:t>
      </w:r>
    </w:p>
    <w:p>
      <w:r>
        <w:t>FR: GE_GERICHTE P/8850/2023 du 23 novembre 2023</w:t>
      </w:r>
    </w:p>
    <w:p>
      <w:r>
        <w:t>IT: GE_GERICHTE P/8850/2023 del 23 novembre 2023</w:t>
      </w:r>
    </w:p>
    <w:p>
      <w:pPr>
        <w:pStyle w:val="Heading2"/>
      </w:pPr>
      <w:r>
        <w:t>Regeste</w:t>
      </w:r>
    </w:p>
    <w:p>
      <w:r>
        <w:t>DÉCISION D'IRRECEVABILITÉ;ENQUÊTE PÉNALE;CONDUITE DU PROCÈS | CPP.310</w:t>
      </w:r>
    </w:p>
    <w:p>
      <w:pPr>
        <w:pStyle w:val="Heading2"/>
      </w:pPr>
      <w:r>
        <w:t>Erwägungen</w:t>
      </w:r>
    </w:p>
    <w:p>
      <w:r>
        <w:rPr>
          <w:b/>
        </w:rPr>
        <w:t>E. 1.1</w:t>
      </w:r>
    </w:p>
    <w:p>
      <w:r>
        <w:t>Le recours a été interjeté selon la forme et dans le délai prescrits (art. 385 al. 1 et 396 al. 1 CPP), contre une ordonnance sujette à recours auprès de la Chambre de céans (art. 393 al. 1 let. a CPP). Il émane des mineurs, valablement représentés par leurs parents (art. 106 al. 2 CPP) – co-titulaires de l'autorité parentale (art. 304 al. 1 CC) –, qui ont un intérêt juridiquement protégé (art. 382 CPP) à voir poursuivre les faits visés par leur plainte pénale (art. 104 al. 1 let. b CPP). Il est, partant, recevable.</w:t>
      </w:r>
    </w:p>
    <w:p>
      <w:r>
        <w:rPr>
          <w:b/>
        </w:rPr>
        <w:t>E. 1.2</w:t>
      </w:r>
    </w:p>
    <w:p>
      <w:r>
        <w:t>Il en va de même de la pièce jointe au courrier du 14 décembre 2023,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Il n'apparaît pas que les recourants aient demandé à consulter le dossier que ce soit auprès du Ministère public ou de la Chambre de céans. Le cas échéant, tel accès leur aurait été accordé, l'ordonnance de non-entrée en matière rendue clôturant la procédure. Par ailleurs, le principe de la bonne foi commande que le justiciable qui requiert la consultation d'un dossier le dernier jour du délai de recours se voie opposer qu'il ne peut pas compléter son écriture. Une demande de consultation ne doit pas permettre de contourner un délai légal, et la partie doit s'organiser afin que la consultation intervienne en temps utile (arrêt du Tribunal fédéral 6B_1010/2020 du 10 février 2021 consid. 2.2.3; ACPR/869/2022 du 13 décembre 2022 consid. 2). Les conclusions des recourants tendant à ce qu'il soit ordonné au Ministère public de leur octroyer un accès intégral à la procédure ainsi qu'un délai pour se déterminer sont ainsi sans objet, subsidiairement rejetées.</w:t>
      </w:r>
    </w:p>
    <w:p>
      <w:r>
        <w:rPr>
          <w:b/>
        </w:rPr>
        <w:t>E. 4</w:t>
      </w:r>
    </w:p>
    <w:p>
      <w:r>
        <w:t>2.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6B_89/2022 du 2 juin 2022 consid. 2.2). Selon la jurisprudence, 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au sens de l'art. 307 CPP,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4.3</w:t>
      </w:r>
    </w:p>
    <w:p>
      <w:r>
        <w:t>Avant l'ouverture d'une instruction, le droit de participer à l'administration des preuves ne s'applique en principe pas (art. 147 al. 1 CPP a contrario; ATF 143 IV 397 consid. 3.3.2 i. f. et 140 IV 172 consid. 1.2.2), et ce y compris en cas d'investigations policières diligentées à titre de complément d'enquête requis par le ministère public en vertu de l'art. 309 al. 2 CPP (arrêts du Tribunal fédéral 6B_89/2022 précité consid. 2.2; 6B_488/2021 du 22 décembre 2021 consid. 4.2 et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précité consid. 2.2.2).</w:t>
      </w:r>
    </w:p>
    <w:p>
      <w:r>
        <w:rPr>
          <w:b/>
        </w:rPr>
        <w:t>E. 4.4</w:t>
      </w:r>
    </w:p>
    <w:p>
      <w:r>
        <w:t>En l'espèce, il apparaît douteux, au sens de la jurisprudence précitée, que les actes entrepris dans la présente procédure, soit l'audition de la mise en cause par la police et la demande, par le Ministère public, des notes obtenues concernant le mineur D______ à l'École, impliquent l'ouverture d'une instruction. Cette question peut néanmoins demeurer ouverte, le droit d'être entendu des recourants ayant été assuré, dès lors qu'ils n'ont pas été privés de la possibilité de se déterminer et de présenter leurs éventuelles réquisitions de preuve en instance de recours, la Chambre de céans jouissant d'un plein pouvoir d'examen à cet égard (cf. art. 393 al. 2 CPP; arrêt du Tribunal fédéral 6B_666/2021 du 13 janvier 2023 consid. 3.3.2). Partant, au vu de ce qui précède et en l'absence de dommage subi, les recourants n'en n'alléguant aucun au demeurant, il n'y a pas lieu d'annuler la décision querellée. Ce grief sera donc rejeté.</w:t>
      </w:r>
    </w:p>
    <w:p>
      <w:r>
        <w:rPr>
          <w:b/>
        </w:rPr>
        <w:t>E. 5</w:t>
      </w:r>
    </w:p>
    <w:p>
      <w:r>
        <w:t>Reste à savoir si la non-entrée en matière est justifiée.</w:t>
      </w:r>
    </w:p>
    <w:p>
      <w:r>
        <w:rPr>
          <w:b/>
        </w:rPr>
        <w:t>E. 5.1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5.2</w:t>
      </w:r>
    </w:p>
    <w:p>
      <w:r>
        <w:t>En l'occurrence, il ressort des éléments au dossier que D______ a rencontré des difficultés de comportements à l'école, ce qui a nécessité un aménagement de ses journées scolaires et des entretiens avec les parents très fréquents – quotidiens avec la mère et réguliers avec les deux parents – et ce, sur les trois mois pendant lesquels il a été scolarisé au sein de l'École. Pour le surplus, les versions des parties sont contradictoires et, en l'absence de tout élément de preuve objectif corroborant celle des recourants, rien ne permet de retenir qu'elle serait plus crédible que celle de la mise en cause, qui conteste les faits reprochés. Au contraire, alors qu'ils allèguent, déjà au stade de leur plainte, que la marque d'une griffure était encore visible sur D______, soit plusieurs mois après les faits, ils n'ont pas jugé utile de produire quoi que ce soit permettant d'attester de son existence, tel un certificat médical voire une photographie. En outre, l'enquête menée par la direction de l'établissement scolaire n'a pas mis en lumière un quelconque comportement inadéquat de la part de la mise en cause. Ainsi, c'est à juste titre que le Ministère public a retenu qu'une prévention pénale suffisante à l'égard de celle-ci ne pouvait être retenue. Partant, la décision querellée, y compris le rejet des réquisitions de preuves, est justifiée. D'ailleurs, les recourants n'ont pas formulé de véritables critiques à cet égard, expliquant, tout au plus, que l'ordonnance attaquée était " hâtive " au vu de leur dénonciation administrative. À cet égard, si, à bien les comprendre, ils considéraient qu'une suspension de la procédure pénale aurait été préférable, ce raisonnement ne peut être suivi au regard des règles applicables en la matière (art. 314 CPP; arrêts du Tribunal fédéral 1B_2012 du 29 mai 2012 consid. 3.1 et 1B_421/2012 du 19 juin 2013 consid. 2.3; ACPR/222/2023 du 27 mars 2023 consid. 3.3). En outre, si l'enquête administrative devait révéler un quelconque comportement pénal de la part de la mise en cause, la procédure préliminaire pourrait toujours être reprise, le cas échéant (art. 310 al. 2 et 323 CPP).</w:t>
      </w:r>
    </w:p>
    <w:p>
      <w:r>
        <w:rPr>
          <w:b/>
        </w:rPr>
        <w:t>E. 6</w:t>
      </w:r>
    </w:p>
    <w:p>
      <w:r>
        <w:t>Justifiée, l'ordonnance querellée sera donc confirmée et le recours rejeté.</w:t>
      </w:r>
    </w:p>
    <w:p>
      <w:r>
        <w:rPr>
          <w:b/>
        </w:rPr>
        <w:t>E. 7</w:t>
      </w:r>
    </w:p>
    <w:p>
      <w:r>
        <w:t>Les recourants, qui succombent, supporteront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